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FB20" w14:textId="77777777" w:rsidR="00717978" w:rsidRPr="00D62D46" w:rsidRDefault="00D62D46" w:rsidP="00C53DEF">
      <w:pPr>
        <w:autoSpaceDE w:val="0"/>
        <w:autoSpaceDN w:val="0"/>
        <w:adjustRightInd w:val="0"/>
        <w:spacing w:after="0"/>
        <w:ind w:left="57" w:right="57"/>
        <w:jc w:val="center"/>
        <w:rPr>
          <w:rFonts w:cs="Calibri"/>
          <w:b/>
          <w:sz w:val="24"/>
          <w:szCs w:val="24"/>
        </w:rPr>
      </w:pPr>
      <w:r w:rsidRPr="00D62D46">
        <w:rPr>
          <w:rFonts w:cs="Calibri"/>
          <w:b/>
          <w:sz w:val="24"/>
          <w:szCs w:val="24"/>
        </w:rPr>
        <w:t>PROGRAM ROZVOJE JIHOČESKÉHO KRAJE NA OBDOBÍ 2021-2027</w:t>
      </w:r>
    </w:p>
    <w:p w14:paraId="1D30D032" w14:textId="77777777" w:rsidR="00717978" w:rsidRPr="00D62D46" w:rsidRDefault="00717978" w:rsidP="00C53DEF">
      <w:pPr>
        <w:autoSpaceDE w:val="0"/>
        <w:autoSpaceDN w:val="0"/>
        <w:adjustRightInd w:val="0"/>
        <w:spacing w:after="0"/>
        <w:ind w:left="57" w:right="57"/>
        <w:jc w:val="center"/>
        <w:rPr>
          <w:rFonts w:cs="Calibri"/>
          <w:b/>
          <w:sz w:val="24"/>
          <w:szCs w:val="24"/>
        </w:rPr>
      </w:pPr>
    </w:p>
    <w:p w14:paraId="74AFDDBC" w14:textId="77777777" w:rsidR="00A35EB4" w:rsidRPr="00B52102" w:rsidRDefault="00A35EB4" w:rsidP="00C53DEF">
      <w:pPr>
        <w:autoSpaceDE w:val="0"/>
        <w:autoSpaceDN w:val="0"/>
        <w:adjustRightInd w:val="0"/>
        <w:spacing w:after="0"/>
        <w:ind w:left="57" w:right="57"/>
        <w:jc w:val="center"/>
        <w:rPr>
          <w:rFonts w:cs="Calibri"/>
          <w:b/>
          <w:sz w:val="24"/>
          <w:szCs w:val="24"/>
        </w:rPr>
      </w:pPr>
      <w:r w:rsidRPr="00D62D46">
        <w:rPr>
          <w:rFonts w:cs="Calibri"/>
          <w:b/>
          <w:sz w:val="24"/>
          <w:szCs w:val="24"/>
        </w:rPr>
        <w:t xml:space="preserve">Prohlášení dle § 10g odst. 5 zákona č. 100/2001 Sb., o posuzování vlivů na životní </w:t>
      </w:r>
      <w:r w:rsidRPr="00B52102">
        <w:rPr>
          <w:rFonts w:cs="Calibri"/>
          <w:b/>
          <w:sz w:val="24"/>
          <w:szCs w:val="24"/>
        </w:rPr>
        <w:t>prostředí</w:t>
      </w:r>
      <w:r w:rsidR="009A7603" w:rsidRPr="00B52102">
        <w:rPr>
          <w:rFonts w:cs="Calibri"/>
          <w:b/>
          <w:sz w:val="24"/>
          <w:szCs w:val="24"/>
        </w:rPr>
        <w:t>, ve znění pozdějších předpisů</w:t>
      </w:r>
    </w:p>
    <w:p w14:paraId="19DA71C1" w14:textId="77777777" w:rsidR="00A35EB4" w:rsidRPr="00B52102" w:rsidRDefault="00A35EB4" w:rsidP="00C53DEF">
      <w:pPr>
        <w:autoSpaceDE w:val="0"/>
        <w:autoSpaceDN w:val="0"/>
        <w:adjustRightInd w:val="0"/>
        <w:spacing w:after="0"/>
        <w:ind w:left="57" w:right="57"/>
        <w:rPr>
          <w:rFonts w:cs="Calibri"/>
          <w:sz w:val="24"/>
          <w:szCs w:val="24"/>
        </w:rPr>
      </w:pPr>
    </w:p>
    <w:p w14:paraId="6C4AC7B6" w14:textId="77777777" w:rsidR="00A35EB4" w:rsidRPr="00B52102" w:rsidRDefault="009A7603" w:rsidP="00B52102">
      <w:pPr>
        <w:jc w:val="both"/>
        <w:rPr>
          <w:sz w:val="20"/>
          <w:szCs w:val="20"/>
        </w:rPr>
      </w:pPr>
      <w:r w:rsidRPr="00B52102">
        <w:rPr>
          <w:rFonts w:cs="Calibri"/>
        </w:rPr>
        <w:t>Příslušný úřad</w:t>
      </w:r>
      <w:r w:rsidR="00F028BD" w:rsidRPr="00B52102">
        <w:rPr>
          <w:rFonts w:cs="Calibri"/>
        </w:rPr>
        <w:t xml:space="preserve">, </w:t>
      </w:r>
      <w:r w:rsidR="00B52102" w:rsidRPr="00B52102">
        <w:rPr>
          <w:rFonts w:cs="Calibri"/>
        </w:rPr>
        <w:t>odbor životního prostředí,</w:t>
      </w:r>
      <w:r w:rsidRPr="00B52102">
        <w:rPr>
          <w:rFonts w:cs="Calibri"/>
        </w:rPr>
        <w:t xml:space="preserve"> zemědělství</w:t>
      </w:r>
      <w:r w:rsidR="00B52102" w:rsidRPr="00B52102">
        <w:rPr>
          <w:rFonts w:cs="Calibri"/>
        </w:rPr>
        <w:t xml:space="preserve"> a lesnictví</w:t>
      </w:r>
      <w:r w:rsidRPr="00B52102">
        <w:rPr>
          <w:rFonts w:cs="Calibri"/>
        </w:rPr>
        <w:t xml:space="preserve"> </w:t>
      </w:r>
      <w:r w:rsidR="00F028BD" w:rsidRPr="00B52102">
        <w:rPr>
          <w:rFonts w:cs="Calibri"/>
        </w:rPr>
        <w:t>K</w:t>
      </w:r>
      <w:r w:rsidR="00E33C9E" w:rsidRPr="00B52102">
        <w:rPr>
          <w:rFonts w:cs="Calibri"/>
        </w:rPr>
        <w:t>rajsk</w:t>
      </w:r>
      <w:r w:rsidRPr="00B52102">
        <w:rPr>
          <w:rFonts w:cs="Calibri"/>
        </w:rPr>
        <w:t>ého</w:t>
      </w:r>
      <w:r w:rsidR="00E33C9E" w:rsidRPr="00B52102">
        <w:rPr>
          <w:rFonts w:cs="Calibri"/>
        </w:rPr>
        <w:t xml:space="preserve"> úřad</w:t>
      </w:r>
      <w:r w:rsidRPr="00B52102">
        <w:rPr>
          <w:rFonts w:cs="Calibri"/>
        </w:rPr>
        <w:t>u</w:t>
      </w:r>
      <w:r w:rsidR="00E33C9E" w:rsidRPr="00B52102">
        <w:rPr>
          <w:rFonts w:cs="Calibri"/>
        </w:rPr>
        <w:t xml:space="preserve"> </w:t>
      </w:r>
      <w:r w:rsidR="00B52102" w:rsidRPr="00B52102">
        <w:rPr>
          <w:rFonts w:cs="Calibri"/>
        </w:rPr>
        <w:t>Jihočeského</w:t>
      </w:r>
      <w:r w:rsidR="00E33C9E" w:rsidRPr="00B52102">
        <w:rPr>
          <w:rFonts w:cs="Calibri"/>
        </w:rPr>
        <w:t xml:space="preserve"> kraje</w:t>
      </w:r>
      <w:r w:rsidRPr="00B52102">
        <w:rPr>
          <w:rFonts w:cs="Calibri"/>
        </w:rPr>
        <w:t>,</w:t>
      </w:r>
      <w:r w:rsidR="00A35EB4" w:rsidRPr="00B52102">
        <w:rPr>
          <w:rFonts w:cs="Calibri"/>
        </w:rPr>
        <w:t xml:space="preserve"> vydal </w:t>
      </w:r>
      <w:r w:rsidR="00E34F69" w:rsidRPr="00B52102">
        <w:rPr>
          <w:rFonts w:cs="Calibri"/>
        </w:rPr>
        <w:t xml:space="preserve">dne </w:t>
      </w:r>
      <w:r w:rsidR="00B52102" w:rsidRPr="00B52102">
        <w:rPr>
          <w:rFonts w:cs="Calibri"/>
        </w:rPr>
        <w:t>29</w:t>
      </w:r>
      <w:r w:rsidR="00852005" w:rsidRPr="00B52102">
        <w:rPr>
          <w:rFonts w:cs="Calibri"/>
        </w:rPr>
        <w:t xml:space="preserve">. </w:t>
      </w:r>
      <w:r w:rsidR="00B52102" w:rsidRPr="00B52102">
        <w:rPr>
          <w:rFonts w:cs="Calibri"/>
        </w:rPr>
        <w:t>6</w:t>
      </w:r>
      <w:r w:rsidR="00852005" w:rsidRPr="00B52102">
        <w:rPr>
          <w:rFonts w:cs="Calibri"/>
        </w:rPr>
        <w:t>. 2020</w:t>
      </w:r>
      <w:r w:rsidR="00F028BD" w:rsidRPr="00B52102">
        <w:rPr>
          <w:rFonts w:cs="Calibri"/>
        </w:rPr>
        <w:t xml:space="preserve"> </w:t>
      </w:r>
      <w:r w:rsidR="00A35EB4" w:rsidRPr="00B52102">
        <w:rPr>
          <w:rFonts w:cs="Calibri"/>
        </w:rPr>
        <w:t>k</w:t>
      </w:r>
      <w:r w:rsidRPr="00B52102">
        <w:rPr>
          <w:rFonts w:cs="Calibri"/>
        </w:rPr>
        <w:t xml:space="preserve"> upravenému návrhu</w:t>
      </w:r>
      <w:r w:rsidR="00A35EB4" w:rsidRPr="00B52102">
        <w:rPr>
          <w:rFonts w:cs="Calibri"/>
        </w:rPr>
        <w:t xml:space="preserve"> „</w:t>
      </w:r>
      <w:r w:rsidR="00B52102" w:rsidRPr="00B52102">
        <w:rPr>
          <w:rFonts w:cs="Calibri"/>
        </w:rPr>
        <w:t>Program rozvoje Jihočeského kraje na období 2021-2027</w:t>
      </w:r>
      <w:r w:rsidR="00A35EB4" w:rsidRPr="00B52102">
        <w:rPr>
          <w:rFonts w:cs="Calibri"/>
        </w:rPr>
        <w:t xml:space="preserve">“ </w:t>
      </w:r>
      <w:r w:rsidR="00A35EB4" w:rsidRPr="00B52102">
        <w:rPr>
          <w:rFonts w:cs="Calibri"/>
          <w:u w:val="single"/>
        </w:rPr>
        <w:t>souhlasné stanovisko</w:t>
      </w:r>
      <w:r w:rsidR="00A35EB4" w:rsidRPr="00B52102">
        <w:rPr>
          <w:rFonts w:cs="Calibri"/>
        </w:rPr>
        <w:t xml:space="preserve"> </w:t>
      </w:r>
      <w:r w:rsidR="00162270" w:rsidRPr="00B52102">
        <w:rPr>
          <w:rFonts w:cs="Calibri"/>
        </w:rPr>
        <w:t>podle § 10g zákona č. 100/2001 Sb., o posuzování vlivů na životní prostředí</w:t>
      </w:r>
      <w:r w:rsidR="00F028BD" w:rsidRPr="00B52102">
        <w:rPr>
          <w:rFonts w:cs="Calibri"/>
        </w:rPr>
        <w:t xml:space="preserve">, </w:t>
      </w:r>
      <w:r w:rsidR="00162270" w:rsidRPr="00B52102">
        <w:rPr>
          <w:rFonts w:cs="Calibri"/>
        </w:rPr>
        <w:t>ve znění pozdějších předpisů</w:t>
      </w:r>
      <w:r w:rsidR="00A35EB4" w:rsidRPr="00B52102">
        <w:rPr>
          <w:rFonts w:cs="Calibri"/>
        </w:rPr>
        <w:t xml:space="preserve"> (Č. j.: </w:t>
      </w:r>
      <w:r w:rsidR="00B52102" w:rsidRPr="00B52102">
        <w:t>KUJC</w:t>
      </w:r>
      <w:r w:rsidR="00975987" w:rsidRPr="00B52102">
        <w:t xml:space="preserve">K </w:t>
      </w:r>
      <w:r w:rsidR="00B52102" w:rsidRPr="00B52102">
        <w:t>80941</w:t>
      </w:r>
      <w:r w:rsidR="00975987" w:rsidRPr="00B52102">
        <w:t>/2020</w:t>
      </w:r>
      <w:r w:rsidR="00A35EB4" w:rsidRPr="00B52102">
        <w:rPr>
          <w:rFonts w:cs="Calibri"/>
        </w:rPr>
        <w:t>).</w:t>
      </w:r>
    </w:p>
    <w:p w14:paraId="0BDC7FB7" w14:textId="77777777" w:rsidR="00A35EB4" w:rsidRPr="00B52102" w:rsidRDefault="00A35EB4" w:rsidP="008F53AF">
      <w:pPr>
        <w:spacing w:after="0"/>
        <w:ind w:right="57"/>
        <w:jc w:val="both"/>
        <w:rPr>
          <w:rFonts w:cs="Calibri"/>
        </w:rPr>
      </w:pPr>
    </w:p>
    <w:p w14:paraId="251C46DB" w14:textId="77777777" w:rsidR="00A35EB4" w:rsidRPr="00B52102" w:rsidRDefault="00A35EB4" w:rsidP="00F028BD">
      <w:pPr>
        <w:autoSpaceDE w:val="0"/>
        <w:autoSpaceDN w:val="0"/>
        <w:adjustRightInd w:val="0"/>
        <w:spacing w:after="0"/>
        <w:ind w:left="57" w:right="57"/>
        <w:jc w:val="both"/>
        <w:rPr>
          <w:rFonts w:cs="Calibri"/>
        </w:rPr>
      </w:pPr>
      <w:r w:rsidRPr="00B52102">
        <w:rPr>
          <w:rFonts w:cs="Calibri"/>
        </w:rPr>
        <w:t>Z</w:t>
      </w:r>
      <w:r w:rsidR="00F028BD" w:rsidRPr="00B52102">
        <w:rPr>
          <w:rFonts w:cs="Calibri"/>
        </w:rPr>
        <w:t xml:space="preserve"> výše uvedeného </w:t>
      </w:r>
      <w:r w:rsidRPr="00B52102">
        <w:rPr>
          <w:rFonts w:cs="Calibri"/>
        </w:rPr>
        <w:t xml:space="preserve">zákona vyplývají </w:t>
      </w:r>
      <w:r w:rsidR="00F028BD" w:rsidRPr="00B52102">
        <w:rPr>
          <w:rFonts w:cs="Calibri"/>
        </w:rPr>
        <w:t xml:space="preserve">mj. následující </w:t>
      </w:r>
      <w:r w:rsidRPr="00B52102">
        <w:rPr>
          <w:rFonts w:cs="Calibri"/>
        </w:rPr>
        <w:t>požadavky</w:t>
      </w:r>
      <w:r w:rsidR="00F028BD" w:rsidRPr="00B52102">
        <w:rPr>
          <w:rFonts w:cs="Calibri"/>
        </w:rPr>
        <w:t>,</w:t>
      </w:r>
      <w:r w:rsidRPr="00B52102">
        <w:rPr>
          <w:rFonts w:cs="Calibri"/>
        </w:rPr>
        <w:t xml:space="preserve"> navazující na vydané stanovisko</w:t>
      </w:r>
      <w:r w:rsidR="00F028BD" w:rsidRPr="00B52102">
        <w:rPr>
          <w:rFonts w:cs="Calibri"/>
        </w:rPr>
        <w:t xml:space="preserve"> (viz</w:t>
      </w:r>
      <w:r w:rsidR="00852005" w:rsidRPr="00B52102">
        <w:rPr>
          <w:rFonts w:cs="Calibri"/>
        </w:rPr>
        <w:t> </w:t>
      </w:r>
      <w:r w:rsidR="000A6866" w:rsidRPr="00B52102">
        <w:rPr>
          <w:rFonts w:cs="Calibri"/>
        </w:rPr>
        <w:t>§ </w:t>
      </w:r>
      <w:r w:rsidRPr="00B52102">
        <w:rPr>
          <w:rFonts w:cs="Calibri"/>
        </w:rPr>
        <w:t>10 g</w:t>
      </w:r>
      <w:r w:rsidR="00F028BD" w:rsidRPr="00B52102">
        <w:rPr>
          <w:rFonts w:cs="Calibri"/>
        </w:rPr>
        <w:t>)</w:t>
      </w:r>
      <w:r w:rsidRPr="00B52102">
        <w:rPr>
          <w:rFonts w:cs="Calibri"/>
        </w:rPr>
        <w:t>:</w:t>
      </w:r>
    </w:p>
    <w:p w14:paraId="48D6FBF3" w14:textId="77777777" w:rsidR="00162270" w:rsidRPr="00B52102" w:rsidRDefault="00162270" w:rsidP="00C53DEF">
      <w:pPr>
        <w:spacing w:after="0"/>
        <w:ind w:left="57" w:right="57"/>
        <w:jc w:val="both"/>
        <w:rPr>
          <w:rFonts w:cs="Calibri"/>
        </w:rPr>
      </w:pPr>
    </w:p>
    <w:p w14:paraId="7A8C828C" w14:textId="77777777" w:rsidR="00A35EB4" w:rsidRPr="00564F9E" w:rsidRDefault="00162270" w:rsidP="00C53DEF">
      <w:pPr>
        <w:spacing w:after="0"/>
        <w:ind w:left="57" w:right="57"/>
        <w:jc w:val="both"/>
        <w:rPr>
          <w:rFonts w:eastAsia="Times New Roman" w:cs="Calibri"/>
          <w:lang w:eastAsia="cs-CZ"/>
        </w:rPr>
      </w:pPr>
      <w:r w:rsidRPr="00564F9E">
        <w:rPr>
          <w:rFonts w:eastAsia="Times New Roman" w:cs="Calibri"/>
          <w:lang w:eastAsia="cs-CZ"/>
        </w:rPr>
        <w:t>(</w:t>
      </w:r>
      <w:r w:rsidR="00F028BD" w:rsidRPr="00564F9E">
        <w:rPr>
          <w:rFonts w:eastAsia="Times New Roman" w:cs="Calibri"/>
          <w:lang w:eastAsia="cs-CZ"/>
        </w:rPr>
        <w:t xml:space="preserve">odst. </w:t>
      </w:r>
      <w:r w:rsidRPr="00564F9E">
        <w:rPr>
          <w:rFonts w:eastAsia="Times New Roman" w:cs="Calibri"/>
          <w:lang w:eastAsia="cs-CZ"/>
        </w:rPr>
        <w:t>4) Bez stanoviska ke koncepci nemůže být koncepce schválena. Schvalující orgán je povinen zohlednit požadavky a podmínky vyplývající ze stanoviska ke koncepci, popřípadě pokud toto stanovisko požadavky a podmínky obsahuje a do koncepce nejsou zahrnuty nebo jsou zahrnuty pouze zčásti, je schvalující orgán povinen svůj postup odůvodnit.</w:t>
      </w:r>
    </w:p>
    <w:p w14:paraId="7B793CED" w14:textId="77777777" w:rsidR="00162270" w:rsidRPr="00564F9E" w:rsidRDefault="00162270" w:rsidP="00C53DEF">
      <w:pPr>
        <w:spacing w:after="0"/>
        <w:ind w:left="57" w:right="57"/>
        <w:jc w:val="both"/>
        <w:rPr>
          <w:rFonts w:eastAsia="Times New Roman" w:cs="Calibri"/>
          <w:lang w:eastAsia="cs-CZ"/>
        </w:rPr>
      </w:pPr>
    </w:p>
    <w:p w14:paraId="75234AE7" w14:textId="77777777" w:rsidR="00162270" w:rsidRPr="00564F9E" w:rsidRDefault="00162270" w:rsidP="00C53DEF">
      <w:pPr>
        <w:spacing w:after="0"/>
        <w:ind w:left="57" w:right="57"/>
        <w:jc w:val="both"/>
        <w:rPr>
          <w:rFonts w:eastAsia="Times New Roman" w:cs="Calibri"/>
          <w:lang w:eastAsia="cs-CZ"/>
        </w:rPr>
      </w:pPr>
      <w:r w:rsidRPr="00564F9E">
        <w:rPr>
          <w:rFonts w:eastAsia="Times New Roman" w:cs="Calibri"/>
          <w:lang w:eastAsia="cs-CZ"/>
        </w:rPr>
        <w:t>(</w:t>
      </w:r>
      <w:r w:rsidR="00F028BD" w:rsidRPr="00564F9E">
        <w:rPr>
          <w:rFonts w:eastAsia="Times New Roman" w:cs="Calibri"/>
          <w:lang w:eastAsia="cs-CZ"/>
        </w:rPr>
        <w:t xml:space="preserve">odst. </w:t>
      </w:r>
      <w:r w:rsidRPr="00564F9E">
        <w:rPr>
          <w:rFonts w:eastAsia="Times New Roman" w:cs="Calibri"/>
          <w:lang w:eastAsia="cs-CZ"/>
        </w:rPr>
        <w:t>5) Předkladatel je povinen zveřejnit schválenou koncepci včetně prohlášení, které obsahuje zejména</w:t>
      </w:r>
      <w:r w:rsidR="00085FB5" w:rsidRPr="00564F9E">
        <w:rPr>
          <w:rFonts w:eastAsia="Times New Roman" w:cs="Calibri"/>
          <w:lang w:eastAsia="cs-CZ"/>
        </w:rPr>
        <w:t>:</w:t>
      </w:r>
      <w:r w:rsidRPr="00564F9E">
        <w:rPr>
          <w:rFonts w:eastAsia="Times New Roman" w:cs="Calibri"/>
          <w:lang w:eastAsia="cs-CZ"/>
        </w:rPr>
        <w:br/>
      </w:r>
    </w:p>
    <w:p w14:paraId="65FD7507" w14:textId="77777777" w:rsidR="00162270" w:rsidRPr="00564F9E" w:rsidRDefault="00162270" w:rsidP="000A6866">
      <w:pPr>
        <w:spacing w:after="0"/>
        <w:ind w:left="708" w:right="57"/>
        <w:jc w:val="both"/>
        <w:rPr>
          <w:rFonts w:eastAsia="Times New Roman" w:cs="Calibri"/>
          <w:lang w:eastAsia="cs-CZ"/>
        </w:rPr>
      </w:pPr>
      <w:r w:rsidRPr="00564F9E">
        <w:rPr>
          <w:rFonts w:eastAsia="Times New Roman" w:cs="Calibri"/>
          <w:lang w:eastAsia="cs-CZ"/>
        </w:rPr>
        <w:t>a) informaci, jak byly ve schválené koncepci zohledněny požadavky a podmínky vyplývající ze stanoviska ke koncepci,</w:t>
      </w:r>
    </w:p>
    <w:p w14:paraId="477F8A26" w14:textId="77777777" w:rsidR="00162270" w:rsidRPr="00564F9E" w:rsidRDefault="00162270" w:rsidP="000A6866">
      <w:pPr>
        <w:spacing w:after="0"/>
        <w:ind w:left="708" w:right="57"/>
        <w:jc w:val="both"/>
        <w:rPr>
          <w:rFonts w:eastAsia="Times New Roman" w:cs="Calibri"/>
          <w:lang w:eastAsia="cs-CZ"/>
        </w:rPr>
      </w:pPr>
      <w:r w:rsidRPr="00564F9E">
        <w:rPr>
          <w:rFonts w:eastAsia="Times New Roman" w:cs="Calibri"/>
          <w:lang w:eastAsia="cs-CZ"/>
        </w:rPr>
        <w:t>b) informaci, jak bylo ve schválené koncepci zohledněno vyjádření dotčeného státu, pokud byla koncepce předmětem mezistátního posuzování podle § 14a,</w:t>
      </w:r>
    </w:p>
    <w:p w14:paraId="02E3B045" w14:textId="77777777" w:rsidR="00162270" w:rsidRPr="00564F9E" w:rsidRDefault="00162270" w:rsidP="000A6866">
      <w:pPr>
        <w:spacing w:after="0"/>
        <w:ind w:left="708" w:right="57"/>
        <w:jc w:val="both"/>
        <w:rPr>
          <w:rFonts w:eastAsia="Times New Roman" w:cs="Calibri"/>
          <w:lang w:eastAsia="cs-CZ"/>
        </w:rPr>
      </w:pPr>
      <w:r w:rsidRPr="00564F9E">
        <w:rPr>
          <w:rFonts w:eastAsia="Times New Roman" w:cs="Calibri"/>
          <w:lang w:eastAsia="cs-CZ"/>
        </w:rPr>
        <w:t>c) odůvodnění vybrané varianty, pokud byl návrh koncepce zpracován ve variantách,</w:t>
      </w:r>
    </w:p>
    <w:p w14:paraId="73EE0016" w14:textId="77777777" w:rsidR="00162270" w:rsidRPr="00564F9E" w:rsidRDefault="00162270" w:rsidP="000A6866">
      <w:pPr>
        <w:spacing w:after="0"/>
        <w:ind w:left="708" w:right="57"/>
        <w:jc w:val="both"/>
        <w:rPr>
          <w:rFonts w:eastAsia="Times New Roman" w:cs="Calibri"/>
          <w:lang w:eastAsia="cs-CZ"/>
        </w:rPr>
      </w:pPr>
      <w:r w:rsidRPr="00564F9E">
        <w:rPr>
          <w:rFonts w:eastAsia="Times New Roman" w:cs="Calibri"/>
          <w:lang w:eastAsia="cs-CZ"/>
        </w:rPr>
        <w:t>d) informaci o účasti veřejnosti při zpracování koncepce a v procesu posuzování vlivů koncepce na životní prostředí,</w:t>
      </w:r>
    </w:p>
    <w:p w14:paraId="0C862E9B" w14:textId="77777777" w:rsidR="00162270" w:rsidRPr="00564F9E" w:rsidRDefault="00162270" w:rsidP="000A6866">
      <w:pPr>
        <w:spacing w:after="0"/>
        <w:ind w:left="708" w:right="57"/>
        <w:jc w:val="both"/>
        <w:rPr>
          <w:rFonts w:eastAsia="Times New Roman" w:cs="Calibri"/>
          <w:lang w:eastAsia="cs-CZ"/>
        </w:rPr>
      </w:pPr>
      <w:r w:rsidRPr="00564F9E">
        <w:rPr>
          <w:rFonts w:eastAsia="Times New Roman" w:cs="Calibri"/>
          <w:lang w:eastAsia="cs-CZ"/>
        </w:rPr>
        <w:t>e) informaci o přijatých opatřeních pro zajištění sledování a rozboru vlivů koncepce na životní prostředí a veřejné zdraví podle § 10h.</w:t>
      </w:r>
    </w:p>
    <w:p w14:paraId="12B69600" w14:textId="77777777" w:rsidR="00162270" w:rsidRPr="00564F9E" w:rsidRDefault="00162270" w:rsidP="00C53DEF">
      <w:pPr>
        <w:spacing w:after="0"/>
        <w:ind w:left="57" w:right="57"/>
        <w:jc w:val="both"/>
        <w:rPr>
          <w:rFonts w:cs="Calibri"/>
        </w:rPr>
      </w:pPr>
    </w:p>
    <w:p w14:paraId="01A53F7E" w14:textId="77777777" w:rsidR="00162270" w:rsidRPr="00564F9E" w:rsidRDefault="00162270" w:rsidP="00C53DEF">
      <w:pPr>
        <w:spacing w:after="0"/>
        <w:ind w:left="57" w:right="57"/>
        <w:jc w:val="both"/>
        <w:rPr>
          <w:rFonts w:cs="Calibri"/>
        </w:rPr>
      </w:pPr>
      <w:r w:rsidRPr="00564F9E">
        <w:rPr>
          <w:rFonts w:eastAsia="Times New Roman" w:cs="Calibri"/>
          <w:lang w:eastAsia="cs-CZ"/>
        </w:rPr>
        <w:t>(</w:t>
      </w:r>
      <w:r w:rsidR="00F028BD" w:rsidRPr="00564F9E">
        <w:rPr>
          <w:rFonts w:eastAsia="Times New Roman" w:cs="Calibri"/>
          <w:lang w:eastAsia="cs-CZ"/>
        </w:rPr>
        <w:t xml:space="preserve">odst. </w:t>
      </w:r>
      <w:r w:rsidRPr="00564F9E">
        <w:rPr>
          <w:rFonts w:eastAsia="Times New Roman" w:cs="Calibri"/>
          <w:lang w:eastAsia="cs-CZ"/>
        </w:rPr>
        <w:t>6) O zveřejnění prohlášení podle odstavce 5 je předkladatel povinen do 7 pracovních dnů informovat příslušný úřad, dotčené orgány, dotčené kraje a případně také dotčené obce, které příslušný úřad určil podle § 10c odst. 2.</w:t>
      </w:r>
    </w:p>
    <w:p w14:paraId="3B816ECF" w14:textId="77777777" w:rsidR="00162270" w:rsidRPr="00564F9E" w:rsidRDefault="00162270" w:rsidP="00C53DEF">
      <w:pPr>
        <w:spacing w:after="0"/>
        <w:ind w:left="57" w:right="57"/>
        <w:jc w:val="both"/>
        <w:rPr>
          <w:rFonts w:cs="Calibri"/>
        </w:rPr>
      </w:pPr>
    </w:p>
    <w:p w14:paraId="6F84D137" w14:textId="77777777" w:rsidR="00F028BD" w:rsidRPr="00564F9E" w:rsidRDefault="00F028BD" w:rsidP="00F028BD">
      <w:pPr>
        <w:spacing w:after="0"/>
        <w:ind w:left="57" w:right="57"/>
        <w:jc w:val="both"/>
        <w:rPr>
          <w:rFonts w:cs="Calibri"/>
        </w:rPr>
      </w:pPr>
      <w:r w:rsidRPr="00564F9E">
        <w:rPr>
          <w:rFonts w:cs="Calibri"/>
        </w:rPr>
        <w:t>Níže je navrženo Prohlášení</w:t>
      </w:r>
      <w:r w:rsidR="00643F31" w:rsidRPr="00564F9E">
        <w:rPr>
          <w:rFonts w:cs="Calibri"/>
        </w:rPr>
        <w:t>,</w:t>
      </w:r>
      <w:r w:rsidRPr="00564F9E">
        <w:rPr>
          <w:rFonts w:cs="Calibri"/>
        </w:rPr>
        <w:t xml:space="preserve"> popisující způsob naplňování §</w:t>
      </w:r>
      <w:r w:rsidR="00564F9E" w:rsidRPr="00564F9E">
        <w:rPr>
          <w:rFonts w:cs="Calibri"/>
        </w:rPr>
        <w:t xml:space="preserve"> 10 g</w:t>
      </w:r>
      <w:r w:rsidRPr="00564F9E">
        <w:rPr>
          <w:rFonts w:cs="Calibri"/>
        </w:rPr>
        <w:t>, odst. 5</w:t>
      </w:r>
      <w:r w:rsidR="00643F31" w:rsidRPr="00564F9E">
        <w:rPr>
          <w:rFonts w:cs="Calibri"/>
        </w:rPr>
        <w:t xml:space="preserve"> v rámci uvedeného návrhu upravené koncepce.</w:t>
      </w:r>
    </w:p>
    <w:p w14:paraId="555B245D" w14:textId="77777777" w:rsidR="00643F31" w:rsidRPr="00564F9E" w:rsidRDefault="00643F31" w:rsidP="00C53DEF">
      <w:pPr>
        <w:spacing w:after="0"/>
        <w:ind w:left="57" w:right="57"/>
        <w:jc w:val="both"/>
        <w:rPr>
          <w:rFonts w:cs="Calibri"/>
        </w:rPr>
      </w:pPr>
    </w:p>
    <w:p w14:paraId="248EE784" w14:textId="77777777" w:rsidR="00354060" w:rsidRPr="00564F9E" w:rsidRDefault="00354060" w:rsidP="00C53DEF">
      <w:pPr>
        <w:spacing w:after="0"/>
        <w:ind w:left="57" w:right="57"/>
        <w:jc w:val="both"/>
        <w:rPr>
          <w:rFonts w:cs="Calibri"/>
        </w:rPr>
      </w:pPr>
    </w:p>
    <w:p w14:paraId="195483BA" w14:textId="77777777" w:rsidR="00354060" w:rsidRPr="00564F9E" w:rsidRDefault="00354060" w:rsidP="00C53DEF">
      <w:pPr>
        <w:spacing w:after="0"/>
        <w:ind w:left="57" w:right="57"/>
        <w:jc w:val="both"/>
        <w:rPr>
          <w:rFonts w:cs="Calibri"/>
        </w:rPr>
      </w:pPr>
    </w:p>
    <w:p w14:paraId="5A4E4911" w14:textId="77777777" w:rsidR="00354060" w:rsidRPr="00564F9E" w:rsidRDefault="00354060" w:rsidP="00C53DEF">
      <w:pPr>
        <w:spacing w:after="0"/>
        <w:ind w:left="57" w:right="57"/>
        <w:jc w:val="both"/>
        <w:rPr>
          <w:rFonts w:cs="Calibri"/>
        </w:rPr>
      </w:pPr>
    </w:p>
    <w:p w14:paraId="0855EA7E" w14:textId="77777777" w:rsidR="00354060" w:rsidRPr="00564F9E" w:rsidRDefault="00354060" w:rsidP="00C53DEF">
      <w:pPr>
        <w:spacing w:after="0"/>
        <w:ind w:left="57" w:right="57"/>
        <w:jc w:val="both"/>
        <w:rPr>
          <w:rFonts w:cs="Calibri"/>
        </w:rPr>
      </w:pPr>
    </w:p>
    <w:p w14:paraId="6311AB07" w14:textId="77777777" w:rsidR="00354060" w:rsidRPr="00564F9E" w:rsidRDefault="00354060" w:rsidP="00C53DEF">
      <w:pPr>
        <w:spacing w:after="0"/>
        <w:ind w:left="57" w:right="57"/>
        <w:jc w:val="both"/>
        <w:rPr>
          <w:rFonts w:cs="Calibri"/>
        </w:rPr>
      </w:pPr>
    </w:p>
    <w:p w14:paraId="37DB21C8" w14:textId="77777777" w:rsidR="00354060" w:rsidRPr="00564F9E" w:rsidRDefault="00354060" w:rsidP="00C53DEF">
      <w:pPr>
        <w:spacing w:after="0"/>
        <w:ind w:left="57" w:right="57"/>
        <w:jc w:val="both"/>
        <w:rPr>
          <w:rFonts w:cs="Calibri"/>
        </w:rPr>
      </w:pPr>
    </w:p>
    <w:p w14:paraId="6CABC142" w14:textId="77777777" w:rsidR="005763B2" w:rsidRPr="00564F9E" w:rsidRDefault="005763B2" w:rsidP="00C53DEF">
      <w:pPr>
        <w:spacing w:after="0"/>
        <w:ind w:left="57" w:right="57"/>
        <w:jc w:val="both"/>
        <w:rPr>
          <w:rFonts w:eastAsia="Times New Roman" w:cs="Calibri"/>
          <w:b/>
          <w:u w:val="single"/>
          <w:lang w:eastAsia="cs-CZ"/>
        </w:rPr>
      </w:pPr>
      <w:r w:rsidRPr="00564F9E">
        <w:rPr>
          <w:rFonts w:eastAsia="Times New Roman" w:cs="Calibri"/>
          <w:b/>
          <w:u w:val="single"/>
          <w:lang w:eastAsia="cs-CZ"/>
        </w:rPr>
        <w:lastRenderedPageBreak/>
        <w:t>A) Informace, jak byly ve schválené koncepci zohledněny požadavky a podmínky vyplývající ze stanoviska ke koncepci</w:t>
      </w:r>
    </w:p>
    <w:p w14:paraId="1421E562" w14:textId="77777777" w:rsidR="004F1A4F" w:rsidRPr="00564F9E" w:rsidRDefault="004F1A4F" w:rsidP="00C53DEF">
      <w:pPr>
        <w:spacing w:after="0"/>
        <w:ind w:left="57" w:right="57"/>
        <w:jc w:val="both"/>
        <w:rPr>
          <w:rFonts w:eastAsia="Times New Roman" w:cs="Calibri"/>
          <w:b/>
          <w:u w:val="single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4066"/>
      </w:tblGrid>
      <w:tr w:rsidR="00091403" w:rsidRPr="00564F9E" w14:paraId="2514F66D" w14:textId="77777777" w:rsidTr="00A61B34">
        <w:trPr>
          <w:tblHeader/>
        </w:trPr>
        <w:tc>
          <w:tcPr>
            <w:tcW w:w="5070" w:type="dxa"/>
            <w:shd w:val="clear" w:color="auto" w:fill="92D050"/>
            <w:vAlign w:val="center"/>
          </w:tcPr>
          <w:p w14:paraId="7369A35C" w14:textId="77777777" w:rsidR="004F1A4F" w:rsidRPr="00564F9E" w:rsidRDefault="004F1A4F" w:rsidP="00564F9E">
            <w:pPr>
              <w:autoSpaceDE w:val="0"/>
              <w:autoSpaceDN w:val="0"/>
              <w:adjustRightInd w:val="0"/>
              <w:ind w:right="57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64F9E">
              <w:rPr>
                <w:rFonts w:cs="Calibri"/>
                <w:b/>
                <w:bCs/>
                <w:sz w:val="20"/>
                <w:szCs w:val="20"/>
              </w:rPr>
              <w:t>Požadavek/podmínka</w:t>
            </w:r>
          </w:p>
        </w:tc>
        <w:tc>
          <w:tcPr>
            <w:tcW w:w="4114" w:type="dxa"/>
            <w:shd w:val="clear" w:color="auto" w:fill="92D050"/>
            <w:vAlign w:val="center"/>
          </w:tcPr>
          <w:p w14:paraId="36ACFA8E" w14:textId="77777777" w:rsidR="004F1A4F" w:rsidRPr="00564F9E" w:rsidRDefault="004F1A4F" w:rsidP="00564F9E">
            <w:pPr>
              <w:autoSpaceDE w:val="0"/>
              <w:autoSpaceDN w:val="0"/>
              <w:adjustRightInd w:val="0"/>
              <w:ind w:right="57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64F9E">
              <w:rPr>
                <w:rFonts w:cs="Calibri"/>
                <w:b/>
                <w:bCs/>
                <w:sz w:val="20"/>
                <w:szCs w:val="20"/>
              </w:rPr>
              <w:t>Doporučení</w:t>
            </w:r>
          </w:p>
        </w:tc>
      </w:tr>
      <w:tr w:rsidR="004F1A4F" w:rsidRPr="007E5105" w14:paraId="6552B215" w14:textId="77777777" w:rsidTr="006B020D">
        <w:tc>
          <w:tcPr>
            <w:tcW w:w="9184" w:type="dxa"/>
            <w:gridSpan w:val="2"/>
            <w:shd w:val="clear" w:color="auto" w:fill="D9D9D9"/>
          </w:tcPr>
          <w:p w14:paraId="303E6919" w14:textId="77777777" w:rsidR="004F1A4F" w:rsidRPr="00A6702E" w:rsidRDefault="00091403" w:rsidP="00564F9E">
            <w:pPr>
              <w:autoSpaceDE w:val="0"/>
              <w:autoSpaceDN w:val="0"/>
              <w:adjustRightInd w:val="0"/>
              <w:ind w:left="57" w:right="57"/>
              <w:rPr>
                <w:rFonts w:cs="Calibri"/>
                <w:b/>
                <w:bCs/>
                <w:sz w:val="20"/>
                <w:szCs w:val="20"/>
              </w:rPr>
            </w:pPr>
            <w:r w:rsidRPr="00A6702E">
              <w:rPr>
                <w:rFonts w:cs="Calibri"/>
                <w:b/>
                <w:bCs/>
                <w:sz w:val="20"/>
                <w:szCs w:val="20"/>
              </w:rPr>
              <w:t>Obecné podmínky z hlediska vlivů na životní prostředí:</w:t>
            </w:r>
          </w:p>
        </w:tc>
      </w:tr>
      <w:tr w:rsidR="00091403" w:rsidRPr="00D62D46" w14:paraId="0595D12D" w14:textId="77777777" w:rsidTr="00A61B34">
        <w:trPr>
          <w:trHeight w:val="690"/>
        </w:trPr>
        <w:tc>
          <w:tcPr>
            <w:tcW w:w="5070" w:type="dxa"/>
          </w:tcPr>
          <w:p w14:paraId="3086ACD7" w14:textId="77777777" w:rsidR="004F1A4F" w:rsidRPr="00A6702E" w:rsidRDefault="008853E8" w:rsidP="007E5105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702E">
              <w:rPr>
                <w:rFonts w:ascii="Calibri" w:hAnsi="Calibri" w:cs="Calibri"/>
                <w:sz w:val="20"/>
                <w:szCs w:val="20"/>
              </w:rPr>
              <w:t xml:space="preserve">1) </w:t>
            </w:r>
            <w:r w:rsidR="007E5105" w:rsidRPr="00A6702E">
              <w:rPr>
                <w:rFonts w:ascii="Calibri" w:hAnsi="Calibri" w:cs="Calibri"/>
                <w:sz w:val="20"/>
                <w:szCs w:val="20"/>
              </w:rPr>
              <w:t>Respektovat předměty ochrany zvláště chráněných území a snižovat antropogenní tlak na jejich území. Konkrétní projekty posoudit z hlediska jejich vlivu na přírodu a krajinu. Jakékoliv aktivity/projekty, u nichž by se očekávaly negativní vlivy (i zprostředkované) na ZCHÚ a soustavu Natura 2000, konzultovat s orgány ochrany přírody.</w:t>
            </w:r>
          </w:p>
        </w:tc>
        <w:tc>
          <w:tcPr>
            <w:tcW w:w="4114" w:type="dxa"/>
          </w:tcPr>
          <w:p w14:paraId="39A18C72" w14:textId="77777777" w:rsidR="004F1A4F" w:rsidRPr="00A6702E" w:rsidRDefault="008853E8" w:rsidP="00354060">
            <w:pPr>
              <w:pStyle w:val="Bezmezer"/>
              <w:jc w:val="both"/>
              <w:rPr>
                <w:sz w:val="20"/>
              </w:rPr>
            </w:pPr>
            <w:r w:rsidRPr="00A6702E">
              <w:rPr>
                <w:b/>
                <w:sz w:val="20"/>
              </w:rPr>
              <w:t xml:space="preserve">Akceptováno. </w:t>
            </w:r>
            <w:r w:rsidR="00A6702E" w:rsidRPr="00A6702E">
              <w:rPr>
                <w:sz w:val="20"/>
              </w:rPr>
              <w:t xml:space="preserve">Předměty ochrany ZCHÚ budou při realizaci koncepce plně respektovány a konkrétní projekty či aktivity, které by vyvolávaly potenciální negativní dopady, budou podléhat rozhodnutí orgánů ochrany přírody, mj. na základě biologického a </w:t>
            </w:r>
            <w:proofErr w:type="spellStart"/>
            <w:r w:rsidR="00A6702E" w:rsidRPr="00A6702E">
              <w:rPr>
                <w:sz w:val="20"/>
              </w:rPr>
              <w:t>naturového</w:t>
            </w:r>
            <w:proofErr w:type="spellEnd"/>
            <w:r w:rsidR="00A6702E" w:rsidRPr="00A6702E">
              <w:rPr>
                <w:sz w:val="20"/>
              </w:rPr>
              <w:t xml:space="preserve"> hodnocení (v rámci ZCHÚ, lokalit soustavy Natura 2000, VKP či ÚSES).</w:t>
            </w:r>
            <w:r w:rsidR="00A61B34">
              <w:rPr>
                <w:sz w:val="20"/>
              </w:rPr>
              <w:t xml:space="preserve"> Řešeno rovněž na obecnější úrovni v rámci Strategického</w:t>
            </w:r>
            <w:r w:rsidR="00A61B34" w:rsidRPr="00A61B34">
              <w:rPr>
                <w:sz w:val="20"/>
              </w:rPr>
              <w:t xml:space="preserve"> cíl</w:t>
            </w:r>
            <w:r w:rsidR="00A61B34">
              <w:rPr>
                <w:sz w:val="20"/>
              </w:rPr>
              <w:t>e</w:t>
            </w:r>
            <w:r w:rsidR="00A61B34" w:rsidRPr="00A61B34">
              <w:rPr>
                <w:sz w:val="20"/>
              </w:rPr>
              <w:t xml:space="preserve"> 6.1: Ochrana životního prostředí</w:t>
            </w:r>
            <w:r w:rsidR="00A61B34">
              <w:rPr>
                <w:sz w:val="20"/>
              </w:rPr>
              <w:t>.</w:t>
            </w:r>
          </w:p>
        </w:tc>
      </w:tr>
      <w:tr w:rsidR="00091403" w:rsidRPr="00D62D46" w14:paraId="1004BBE4" w14:textId="77777777" w:rsidTr="00A61B34">
        <w:tc>
          <w:tcPr>
            <w:tcW w:w="5070" w:type="dxa"/>
          </w:tcPr>
          <w:p w14:paraId="5F866411" w14:textId="77777777" w:rsidR="004F1A4F" w:rsidRPr="000C5EAE" w:rsidRDefault="008853E8" w:rsidP="00354060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5EAE">
              <w:rPr>
                <w:rFonts w:ascii="Calibri" w:hAnsi="Calibri" w:cs="Calibri"/>
                <w:sz w:val="20"/>
                <w:szCs w:val="20"/>
              </w:rPr>
              <w:t xml:space="preserve">2) </w:t>
            </w:r>
            <w:r w:rsidR="007E5105" w:rsidRPr="000C5EAE">
              <w:rPr>
                <w:rFonts w:ascii="Calibri" w:hAnsi="Calibri" w:cs="Calibri"/>
                <w:sz w:val="20"/>
                <w:szCs w:val="20"/>
              </w:rPr>
              <w:t>Zajistit zachování migrační pros</w:t>
            </w:r>
            <w:r w:rsidR="000C5EAE">
              <w:rPr>
                <w:rFonts w:ascii="Calibri" w:hAnsi="Calibri" w:cs="Calibri"/>
                <w:sz w:val="20"/>
                <w:szCs w:val="20"/>
              </w:rPr>
              <w:t>tupnosti pro zvláště chráněné a </w:t>
            </w:r>
            <w:r w:rsidR="007E5105" w:rsidRPr="000C5EAE">
              <w:rPr>
                <w:rFonts w:ascii="Calibri" w:hAnsi="Calibri" w:cs="Calibri"/>
                <w:sz w:val="20"/>
                <w:szCs w:val="20"/>
              </w:rPr>
              <w:t>evropsky významné druhy (vodní díla, větrné elektrárny, dopravní komunikace). Před umístěním nových zdrojů posoudit jejich vliv na krajinný ráz. Jakékoliv aktivity, u nichž by se očekávaly negativní zásahy nebo ovlivnění (i zprostředkované) ZCHÚ a soustavy Natura 2000, konzultovat s orgány ochrany přírody.</w:t>
            </w:r>
          </w:p>
        </w:tc>
        <w:tc>
          <w:tcPr>
            <w:tcW w:w="4114" w:type="dxa"/>
          </w:tcPr>
          <w:p w14:paraId="41B9CD46" w14:textId="77777777" w:rsidR="00DD6E0D" w:rsidRPr="00D62D46" w:rsidRDefault="00C30E0B" w:rsidP="00965EE6">
            <w:pPr>
              <w:pStyle w:val="Bezmezer"/>
              <w:jc w:val="both"/>
              <w:rPr>
                <w:sz w:val="20"/>
                <w:highlight w:val="yellow"/>
              </w:rPr>
            </w:pPr>
            <w:r w:rsidRPr="00154973">
              <w:rPr>
                <w:b/>
                <w:sz w:val="20"/>
              </w:rPr>
              <w:t>Akceptováno.</w:t>
            </w:r>
            <w:r w:rsidRPr="00154973">
              <w:rPr>
                <w:sz w:val="20"/>
              </w:rPr>
              <w:t xml:space="preserve"> </w:t>
            </w:r>
            <w:r w:rsidR="008A583E" w:rsidRPr="00154973">
              <w:rPr>
                <w:sz w:val="20"/>
              </w:rPr>
              <w:t xml:space="preserve">Koncepce podporuje </w:t>
            </w:r>
            <w:r w:rsidR="00440C3A" w:rsidRPr="00154973">
              <w:rPr>
                <w:sz w:val="20"/>
              </w:rPr>
              <w:t>udržitelný rozvoj území</w:t>
            </w:r>
            <w:r w:rsidR="00230DD6" w:rsidRPr="00154973">
              <w:rPr>
                <w:sz w:val="20"/>
              </w:rPr>
              <w:t xml:space="preserve">, územní systém ekologické stability a další (např. </w:t>
            </w:r>
            <w:r w:rsidR="00154973" w:rsidRPr="00154973">
              <w:rPr>
                <w:sz w:val="20"/>
              </w:rPr>
              <w:t>strategický cíl 6.1)</w:t>
            </w:r>
            <w:r w:rsidR="008A583E" w:rsidRPr="00154973">
              <w:rPr>
                <w:sz w:val="20"/>
              </w:rPr>
              <w:t>. Ve smyslu zákona bude dbáno na zachování</w:t>
            </w:r>
            <w:r w:rsidR="008A583E">
              <w:rPr>
                <w:sz w:val="20"/>
              </w:rPr>
              <w:t xml:space="preserve"> migrační prostupnosti krajiny pro zvláště chráněné a evropsky významné druhy.</w:t>
            </w:r>
            <w:r w:rsidR="00DD6E0D">
              <w:rPr>
                <w:sz w:val="20"/>
              </w:rPr>
              <w:t xml:space="preserve"> </w:t>
            </w:r>
            <w:r w:rsidR="00DD6E0D" w:rsidRPr="005F314B">
              <w:rPr>
                <w:sz w:val="20"/>
              </w:rPr>
              <w:t>Výběr</w:t>
            </w:r>
            <w:r w:rsidR="00DD6E0D" w:rsidRPr="003A4E78">
              <w:rPr>
                <w:sz w:val="20"/>
              </w:rPr>
              <w:t xml:space="preserve"> projektů bude podléhat environmentálním kritériím pro výběr projektů, na jejichž základ</w:t>
            </w:r>
            <w:r w:rsidR="00DD6E0D">
              <w:rPr>
                <w:sz w:val="20"/>
              </w:rPr>
              <w:t xml:space="preserve">ě budou následně </w:t>
            </w:r>
            <w:r w:rsidR="00DD6E0D" w:rsidRPr="003A4E78">
              <w:rPr>
                <w:sz w:val="20"/>
              </w:rPr>
              <w:t xml:space="preserve">doporučeny k realizaci ty projekty, při jejichž </w:t>
            </w:r>
            <w:r w:rsidR="00DD6E0D">
              <w:rPr>
                <w:sz w:val="20"/>
              </w:rPr>
              <w:t xml:space="preserve">realizaci </w:t>
            </w:r>
            <w:r w:rsidR="00DD6E0D" w:rsidRPr="003A4E78">
              <w:rPr>
                <w:sz w:val="20"/>
              </w:rPr>
              <w:t>bud</w:t>
            </w:r>
            <w:r w:rsidR="00DD6E0D">
              <w:rPr>
                <w:sz w:val="20"/>
              </w:rPr>
              <w:t xml:space="preserve">e </w:t>
            </w:r>
            <w:r w:rsidR="00DD6E0D" w:rsidRPr="003A4E78">
              <w:rPr>
                <w:sz w:val="20"/>
              </w:rPr>
              <w:t>respektován krajinný ráz</w:t>
            </w:r>
            <w:r w:rsidR="00965EE6">
              <w:rPr>
                <w:sz w:val="20"/>
              </w:rPr>
              <w:t xml:space="preserve"> a zachování migrační prostupnosti</w:t>
            </w:r>
            <w:r w:rsidR="00DD6E0D" w:rsidRPr="003A4E78">
              <w:rPr>
                <w:sz w:val="20"/>
              </w:rPr>
              <w:t>.</w:t>
            </w:r>
            <w:r w:rsidR="00E10516">
              <w:rPr>
                <w:sz w:val="20"/>
              </w:rPr>
              <w:t xml:space="preserve"> </w:t>
            </w:r>
            <w:r w:rsidR="00E10516" w:rsidRPr="003912D1">
              <w:rPr>
                <w:sz w:val="20"/>
              </w:rPr>
              <w:t>Konkrétní projekty či aktivity, které by vyvolávaly potenciální negativní dopady, budou podléhat rozhodnutí orgánů ochrany přírody</w:t>
            </w:r>
            <w:r w:rsidR="00E10516">
              <w:rPr>
                <w:sz w:val="20"/>
              </w:rPr>
              <w:t xml:space="preserve"> a budou s nimi předem projednány.</w:t>
            </w:r>
          </w:p>
        </w:tc>
      </w:tr>
      <w:tr w:rsidR="00091403" w:rsidRPr="00D62D46" w14:paraId="4CC4FDCB" w14:textId="77777777" w:rsidTr="00A61B34">
        <w:tc>
          <w:tcPr>
            <w:tcW w:w="5070" w:type="dxa"/>
          </w:tcPr>
          <w:p w14:paraId="20A8DBEB" w14:textId="77777777" w:rsidR="004F1A4F" w:rsidRPr="000C5EAE" w:rsidRDefault="00C30E0B" w:rsidP="00354060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5EAE">
              <w:rPr>
                <w:rFonts w:ascii="Calibri" w:hAnsi="Calibri" w:cs="Calibri"/>
                <w:sz w:val="20"/>
                <w:szCs w:val="20"/>
              </w:rPr>
              <w:t xml:space="preserve">3) </w:t>
            </w:r>
            <w:r w:rsidR="007E5105" w:rsidRPr="000C5EAE">
              <w:rPr>
                <w:rFonts w:ascii="Calibri" w:hAnsi="Calibri" w:cs="Calibri"/>
                <w:sz w:val="20"/>
                <w:szCs w:val="20"/>
              </w:rPr>
              <w:t>Pro zadržování vody v krajině vy</w:t>
            </w:r>
            <w:r w:rsidR="000C5EAE">
              <w:rPr>
                <w:rFonts w:ascii="Calibri" w:hAnsi="Calibri" w:cs="Calibri"/>
                <w:sz w:val="20"/>
                <w:szCs w:val="20"/>
              </w:rPr>
              <w:t>bírat přírodě blízká opatření a </w:t>
            </w:r>
            <w:r w:rsidR="007E5105" w:rsidRPr="000C5EAE">
              <w:rPr>
                <w:rFonts w:ascii="Calibri" w:hAnsi="Calibri" w:cs="Calibri"/>
                <w:sz w:val="20"/>
                <w:szCs w:val="20"/>
              </w:rPr>
              <w:t>soustředit se na komplexní krajinářská řešení.</w:t>
            </w:r>
          </w:p>
        </w:tc>
        <w:tc>
          <w:tcPr>
            <w:tcW w:w="4114" w:type="dxa"/>
          </w:tcPr>
          <w:p w14:paraId="090981CB" w14:textId="77777777" w:rsidR="00F6175A" w:rsidRPr="00D62D46" w:rsidRDefault="00356EAE" w:rsidP="00965EE6">
            <w:pPr>
              <w:pStyle w:val="Bezmezer"/>
              <w:jc w:val="both"/>
              <w:rPr>
                <w:b/>
                <w:sz w:val="20"/>
                <w:highlight w:val="yellow"/>
              </w:rPr>
            </w:pPr>
            <w:r w:rsidRPr="00F309E6">
              <w:rPr>
                <w:b/>
                <w:sz w:val="20"/>
              </w:rPr>
              <w:t xml:space="preserve">Akceptováno. </w:t>
            </w:r>
            <w:r w:rsidR="00F309E6" w:rsidRPr="00F309E6">
              <w:rPr>
                <w:sz w:val="20"/>
              </w:rPr>
              <w:t>Výběr projektů bude podléhat environmentálním kritériím pro výběr projektů, na jejichž základě budou následně preferovány ty projekty, při jejichž zpracování budou podporována přírodě blízká opatření v oblasti retence vod a komplexní krajinářská řešení.</w:t>
            </w:r>
            <w:r w:rsidR="00965EE6">
              <w:rPr>
                <w:sz w:val="20"/>
              </w:rPr>
              <w:t xml:space="preserve"> Zohledněno v rámci Strategického</w:t>
            </w:r>
            <w:r w:rsidR="00965EE6" w:rsidRPr="00A61B34">
              <w:rPr>
                <w:sz w:val="20"/>
              </w:rPr>
              <w:t xml:space="preserve"> cíl</w:t>
            </w:r>
            <w:r w:rsidR="00965EE6">
              <w:rPr>
                <w:sz w:val="20"/>
              </w:rPr>
              <w:t>e</w:t>
            </w:r>
            <w:r w:rsidR="00965EE6" w:rsidRPr="00A61B34">
              <w:rPr>
                <w:sz w:val="20"/>
              </w:rPr>
              <w:t xml:space="preserve"> 6.1: Ochrana životního prostředí</w:t>
            </w:r>
            <w:r w:rsidR="00965EE6">
              <w:rPr>
                <w:sz w:val="20"/>
              </w:rPr>
              <w:t xml:space="preserve"> (6.1.10).</w:t>
            </w:r>
          </w:p>
        </w:tc>
      </w:tr>
      <w:tr w:rsidR="00091403" w:rsidRPr="00D62D46" w14:paraId="0F5044FA" w14:textId="77777777" w:rsidTr="00A61B34">
        <w:tc>
          <w:tcPr>
            <w:tcW w:w="5070" w:type="dxa"/>
          </w:tcPr>
          <w:p w14:paraId="3C4945AA" w14:textId="77777777" w:rsidR="004F1A4F" w:rsidRPr="000C5EAE" w:rsidRDefault="00612963" w:rsidP="00354060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5EAE">
              <w:rPr>
                <w:rFonts w:ascii="Calibri" w:hAnsi="Calibri" w:cs="Calibri"/>
                <w:sz w:val="20"/>
                <w:szCs w:val="20"/>
              </w:rPr>
              <w:t xml:space="preserve">4) </w:t>
            </w:r>
            <w:r w:rsidR="007E5105" w:rsidRPr="000C5EAE">
              <w:rPr>
                <w:rFonts w:ascii="Calibri" w:hAnsi="Calibri" w:cs="Calibri"/>
                <w:sz w:val="20"/>
                <w:szCs w:val="20"/>
              </w:rPr>
              <w:t>U vodohospodářských opatření upřednostňovat přírodě bližší opatření (poldry a další) a jakékoliv další zásahy, u nichž by se eventuálně mohly očekávat negativní zásahy nebo ovliv</w:t>
            </w:r>
            <w:r w:rsidR="000C5EAE">
              <w:rPr>
                <w:rFonts w:ascii="Calibri" w:hAnsi="Calibri" w:cs="Calibri"/>
                <w:sz w:val="20"/>
                <w:szCs w:val="20"/>
              </w:rPr>
              <w:t>nění (i zprostředkované) ZCHÚ a </w:t>
            </w:r>
            <w:r w:rsidR="007E5105" w:rsidRPr="000C5EAE">
              <w:rPr>
                <w:rFonts w:ascii="Calibri" w:hAnsi="Calibri" w:cs="Calibri"/>
                <w:sz w:val="20"/>
                <w:szCs w:val="20"/>
              </w:rPr>
              <w:t xml:space="preserve">soustavy Natura 2000, konzultovat s orgány ochrany přírody a podrobit je biologickému hodnocení, v případě možného zásahu do EVL a PO také </w:t>
            </w:r>
            <w:proofErr w:type="spellStart"/>
            <w:r w:rsidR="007E5105" w:rsidRPr="000C5EAE">
              <w:rPr>
                <w:rFonts w:ascii="Calibri" w:hAnsi="Calibri" w:cs="Calibri"/>
                <w:sz w:val="20"/>
                <w:szCs w:val="20"/>
              </w:rPr>
              <w:t>naturovému</w:t>
            </w:r>
            <w:proofErr w:type="spellEnd"/>
            <w:r w:rsidR="007E5105" w:rsidRPr="000C5EAE">
              <w:rPr>
                <w:rFonts w:ascii="Calibri" w:hAnsi="Calibri" w:cs="Calibri"/>
                <w:sz w:val="20"/>
                <w:szCs w:val="20"/>
              </w:rPr>
              <w:t xml:space="preserve"> hodnocení.</w:t>
            </w:r>
          </w:p>
        </w:tc>
        <w:tc>
          <w:tcPr>
            <w:tcW w:w="4114" w:type="dxa"/>
          </w:tcPr>
          <w:p w14:paraId="62025A54" w14:textId="77777777" w:rsidR="00F6175A" w:rsidRPr="00D62D46" w:rsidRDefault="00612963" w:rsidP="00A4448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554B61">
              <w:rPr>
                <w:rFonts w:asciiTheme="minorHAnsi" w:hAnsiTheme="minorHAnsi" w:cstheme="minorHAnsi"/>
                <w:b/>
                <w:sz w:val="20"/>
              </w:rPr>
              <w:t>Akceptováno.</w:t>
            </w:r>
            <w:r w:rsidRPr="00554B6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C54DA" w:rsidRPr="00554B61">
              <w:rPr>
                <w:rFonts w:asciiTheme="minorHAnsi" w:hAnsiTheme="minorHAnsi" w:cstheme="minorHAnsi"/>
                <w:sz w:val="20"/>
              </w:rPr>
              <w:t>Výběr projektů bude podléhat environmentálním kritériím pro výběr projektů, na jejichž základě budou preferovány ty projekty</w:t>
            </w:r>
            <w:r w:rsidR="00EC54DA" w:rsidRPr="00EC54DA">
              <w:rPr>
                <w:rFonts w:asciiTheme="minorHAnsi" w:hAnsiTheme="minorHAnsi" w:cstheme="minorHAnsi"/>
                <w:sz w:val="20"/>
              </w:rPr>
              <w:t>, při jejichž zpracování budou podporována přírodě blízká opatření. Konkrétní projekty, u</w:t>
            </w:r>
            <w:r w:rsidR="00AA6A91">
              <w:rPr>
                <w:rFonts w:asciiTheme="minorHAnsi" w:hAnsiTheme="minorHAnsi" w:cstheme="minorHAnsi"/>
                <w:sz w:val="20"/>
              </w:rPr>
              <w:t> </w:t>
            </w:r>
            <w:r w:rsidR="00EC54DA" w:rsidRPr="00EC54DA">
              <w:rPr>
                <w:rFonts w:asciiTheme="minorHAnsi" w:hAnsiTheme="minorHAnsi" w:cstheme="minorHAnsi"/>
                <w:sz w:val="20"/>
              </w:rPr>
              <w:t>kterých to bude vyžadova</w:t>
            </w:r>
            <w:r w:rsidR="00AA6A91">
              <w:rPr>
                <w:rFonts w:asciiTheme="minorHAnsi" w:hAnsiTheme="minorHAnsi" w:cstheme="minorHAnsi"/>
                <w:sz w:val="20"/>
              </w:rPr>
              <w:t>t zákon, budou posuzovány dle § </w:t>
            </w:r>
            <w:r w:rsidR="00926418">
              <w:rPr>
                <w:rFonts w:asciiTheme="minorHAnsi" w:hAnsiTheme="minorHAnsi" w:cstheme="minorHAnsi"/>
                <w:sz w:val="20"/>
              </w:rPr>
              <w:t>67 zákona č. 114/1991 Sb., o </w:t>
            </w:r>
            <w:r w:rsidR="00EC54DA" w:rsidRPr="00EC54DA">
              <w:rPr>
                <w:rFonts w:asciiTheme="minorHAnsi" w:hAnsiTheme="minorHAnsi" w:cstheme="minorHAnsi"/>
                <w:sz w:val="20"/>
              </w:rPr>
              <w:t>ochraně přírody a krajiny, ve znění pozdějších předpisů (biologické hodnocení),</w:t>
            </w:r>
            <w:r w:rsidR="00926418">
              <w:rPr>
                <w:rFonts w:asciiTheme="minorHAnsi" w:hAnsiTheme="minorHAnsi" w:cstheme="minorHAnsi"/>
                <w:sz w:val="20"/>
              </w:rPr>
              <w:t xml:space="preserve"> či dle § </w:t>
            </w:r>
            <w:r w:rsidR="00EC54DA" w:rsidRPr="00EC54DA">
              <w:rPr>
                <w:rFonts w:asciiTheme="minorHAnsi" w:hAnsiTheme="minorHAnsi" w:cstheme="minorHAnsi"/>
                <w:sz w:val="20"/>
              </w:rPr>
              <w:t>45i téhož zákona (</w:t>
            </w:r>
            <w:proofErr w:type="spellStart"/>
            <w:r w:rsidR="00EC54DA" w:rsidRPr="00EC54DA">
              <w:rPr>
                <w:rFonts w:asciiTheme="minorHAnsi" w:hAnsiTheme="minorHAnsi" w:cstheme="minorHAnsi"/>
                <w:sz w:val="20"/>
              </w:rPr>
              <w:t>naturové</w:t>
            </w:r>
            <w:proofErr w:type="spellEnd"/>
            <w:r w:rsidR="00EC54DA" w:rsidRPr="00EC54DA">
              <w:rPr>
                <w:rFonts w:asciiTheme="minorHAnsi" w:hAnsiTheme="minorHAnsi" w:cstheme="minorHAnsi"/>
                <w:sz w:val="20"/>
              </w:rPr>
              <w:t xml:space="preserve"> hodnocení). Konkrétní projekty či aktivity, které by vyvolávaly potenciální negativní dopady, budou podléhat rozhodnutí o</w:t>
            </w:r>
            <w:r w:rsidR="00926418">
              <w:rPr>
                <w:rFonts w:asciiTheme="minorHAnsi" w:hAnsiTheme="minorHAnsi" w:cstheme="minorHAnsi"/>
                <w:sz w:val="20"/>
              </w:rPr>
              <w:t xml:space="preserve">rgánů </w:t>
            </w:r>
            <w:r w:rsidR="00926418" w:rsidRPr="00965EE6">
              <w:rPr>
                <w:rFonts w:asciiTheme="minorHAnsi" w:hAnsiTheme="minorHAnsi" w:cstheme="minorHAnsi"/>
                <w:sz w:val="20"/>
              </w:rPr>
              <w:t>ochrany přírody a budou s </w:t>
            </w:r>
            <w:r w:rsidR="00EC54DA" w:rsidRPr="00965EE6">
              <w:rPr>
                <w:rFonts w:asciiTheme="minorHAnsi" w:hAnsiTheme="minorHAnsi" w:cstheme="minorHAnsi"/>
                <w:sz w:val="20"/>
              </w:rPr>
              <w:t>nimi předem projednány.</w:t>
            </w:r>
            <w:r w:rsidRPr="00965EE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65EE6" w:rsidRPr="00965EE6">
              <w:rPr>
                <w:rFonts w:asciiTheme="minorHAnsi" w:hAnsiTheme="minorHAnsi" w:cstheme="minorHAnsi"/>
                <w:sz w:val="20"/>
              </w:rPr>
              <w:t>Zohledněno v rámci Strategického cíle 6.1: Ochrana životního prostředí (6.1.10).</w:t>
            </w:r>
          </w:p>
        </w:tc>
      </w:tr>
      <w:tr w:rsidR="00091403" w:rsidRPr="00D62D46" w14:paraId="55B7A49E" w14:textId="77777777" w:rsidTr="00A61B34">
        <w:trPr>
          <w:trHeight w:val="470"/>
        </w:trPr>
        <w:tc>
          <w:tcPr>
            <w:tcW w:w="5070" w:type="dxa"/>
          </w:tcPr>
          <w:p w14:paraId="1572D2FC" w14:textId="77777777" w:rsidR="004F1A4F" w:rsidRPr="000C5EAE" w:rsidRDefault="00356EAE" w:rsidP="00354060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5EAE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5) </w:t>
            </w:r>
            <w:r w:rsidR="007E5105" w:rsidRPr="000C5EAE">
              <w:rPr>
                <w:rFonts w:ascii="Calibri" w:hAnsi="Calibri" w:cs="Calibri"/>
                <w:sz w:val="20"/>
                <w:szCs w:val="20"/>
              </w:rPr>
              <w:t xml:space="preserve">Při hospodaření v lesích bránit nadměrnému utužování půdy těžkými </w:t>
            </w:r>
            <w:proofErr w:type="gramStart"/>
            <w:r w:rsidR="007E5105" w:rsidRPr="000C5EAE">
              <w:rPr>
                <w:rFonts w:ascii="Calibri" w:hAnsi="Calibri" w:cs="Calibri"/>
                <w:sz w:val="20"/>
                <w:szCs w:val="20"/>
              </w:rPr>
              <w:t>mechanizmy</w:t>
            </w:r>
            <w:proofErr w:type="gramEnd"/>
            <w:r w:rsidR="007E5105" w:rsidRPr="000C5EAE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="007E5105" w:rsidRPr="000C5EAE">
              <w:rPr>
                <w:rFonts w:ascii="Calibri" w:hAnsi="Calibri" w:cs="Calibri"/>
                <w:sz w:val="20"/>
                <w:szCs w:val="20"/>
              </w:rPr>
              <w:t>harvestory</w:t>
            </w:r>
            <w:proofErr w:type="spellEnd"/>
            <w:r w:rsidR="007E5105" w:rsidRPr="000C5EAE">
              <w:rPr>
                <w:rFonts w:ascii="Calibri" w:hAnsi="Calibri" w:cs="Calibri"/>
                <w:sz w:val="20"/>
                <w:szCs w:val="20"/>
              </w:rPr>
              <w:t>), s negativním důsledkem na vodní hospodářství a zdravotní stav lesa. Nepoužívat geneticky a geograficky nepůvodní sadební materiál, vedoucí k pozm</w:t>
            </w:r>
            <w:r w:rsidR="00543431">
              <w:rPr>
                <w:rFonts w:ascii="Calibri" w:hAnsi="Calibri" w:cs="Calibri"/>
                <w:sz w:val="20"/>
                <w:szCs w:val="20"/>
              </w:rPr>
              <w:t>ěněné druhové skladbě porostů s </w:t>
            </w:r>
            <w:r w:rsidR="007E5105" w:rsidRPr="000C5EAE">
              <w:rPr>
                <w:rFonts w:ascii="Calibri" w:hAnsi="Calibri" w:cs="Calibri"/>
                <w:sz w:val="20"/>
                <w:szCs w:val="20"/>
              </w:rPr>
              <w:t xml:space="preserve">důsledky na biodiverzitu lesních </w:t>
            </w:r>
            <w:proofErr w:type="gramStart"/>
            <w:r w:rsidR="007E5105" w:rsidRPr="000C5EAE">
              <w:rPr>
                <w:rFonts w:ascii="Calibri" w:hAnsi="Calibri" w:cs="Calibri"/>
                <w:sz w:val="20"/>
                <w:szCs w:val="20"/>
              </w:rPr>
              <w:t>organizmů</w:t>
            </w:r>
            <w:proofErr w:type="gramEnd"/>
            <w:r w:rsidR="007E5105" w:rsidRPr="000C5EAE">
              <w:rPr>
                <w:rFonts w:ascii="Calibri" w:hAnsi="Calibri" w:cs="Calibri"/>
                <w:sz w:val="20"/>
                <w:szCs w:val="20"/>
              </w:rPr>
              <w:t>. Při zlepšování druhové skladby lesních porostů dbát na to, aby při zvyšování podílu melioračních a zpevňujících dřevin došlo k rovnoměrné aplikaci, aby se nevytvořily enklávy se 100 % zastoupením těchto dřevin.</w:t>
            </w:r>
          </w:p>
        </w:tc>
        <w:tc>
          <w:tcPr>
            <w:tcW w:w="4114" w:type="dxa"/>
            <w:shd w:val="clear" w:color="auto" w:fill="auto"/>
          </w:tcPr>
          <w:p w14:paraId="7114CECF" w14:textId="77777777" w:rsidR="004F1A4F" w:rsidRDefault="00B54092" w:rsidP="00965EE6">
            <w:pPr>
              <w:pStyle w:val="Bezmezer"/>
              <w:jc w:val="both"/>
              <w:rPr>
                <w:sz w:val="20"/>
              </w:rPr>
            </w:pPr>
            <w:r w:rsidRPr="003B5A6B">
              <w:rPr>
                <w:b/>
                <w:sz w:val="20"/>
              </w:rPr>
              <w:t xml:space="preserve">Akceptováno. </w:t>
            </w:r>
            <w:r w:rsidR="003B5A6B" w:rsidRPr="003B5A6B">
              <w:rPr>
                <w:sz w:val="20"/>
              </w:rPr>
              <w:t>Při realizaci konkrétních projektů bude minimalizováno utužování půdy v lesích, bude upřednostňován geneticky a geograficky</w:t>
            </w:r>
            <w:r w:rsidR="003B5A6B">
              <w:rPr>
                <w:sz w:val="20"/>
              </w:rPr>
              <w:t xml:space="preserve"> původní sadební materiál a </w:t>
            </w:r>
            <w:r w:rsidR="00965EE6">
              <w:rPr>
                <w:sz w:val="20"/>
              </w:rPr>
              <w:t>dodržovány stanovené požadavky</w:t>
            </w:r>
            <w:r w:rsidR="003B5A6B">
              <w:rPr>
                <w:sz w:val="20"/>
              </w:rPr>
              <w:t>.</w:t>
            </w:r>
          </w:p>
          <w:p w14:paraId="464EBD0E" w14:textId="77777777" w:rsidR="00D36262" w:rsidRPr="00D62D46" w:rsidRDefault="00D36262" w:rsidP="00965EE6">
            <w:pPr>
              <w:pStyle w:val="Bezmezer"/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Řešeno také v rámci opatření 1.4.17 a 1.4.18 a 6.2.11.</w:t>
            </w:r>
          </w:p>
        </w:tc>
      </w:tr>
      <w:tr w:rsidR="00091403" w:rsidRPr="00D62D46" w14:paraId="137FC6C1" w14:textId="77777777" w:rsidTr="00A61B34">
        <w:tc>
          <w:tcPr>
            <w:tcW w:w="5070" w:type="dxa"/>
          </w:tcPr>
          <w:p w14:paraId="013315C6" w14:textId="77777777" w:rsidR="004F1A4F" w:rsidRPr="000C5EAE" w:rsidRDefault="007E5A53" w:rsidP="002624E9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5EAE">
              <w:rPr>
                <w:rFonts w:ascii="Calibri" w:hAnsi="Calibri" w:cs="Calibri"/>
                <w:sz w:val="20"/>
                <w:szCs w:val="20"/>
              </w:rPr>
              <w:t xml:space="preserve">6) </w:t>
            </w:r>
            <w:r w:rsidR="00605B25" w:rsidRPr="000C5EAE">
              <w:rPr>
                <w:rFonts w:ascii="Calibri" w:hAnsi="Calibri" w:cs="Calibri"/>
                <w:sz w:val="20"/>
                <w:szCs w:val="20"/>
              </w:rPr>
              <w:t>Umisťovat novou infrastrukturu s ohle</w:t>
            </w:r>
            <w:r w:rsidR="00543431">
              <w:rPr>
                <w:rFonts w:ascii="Calibri" w:hAnsi="Calibri" w:cs="Calibri"/>
                <w:sz w:val="20"/>
                <w:szCs w:val="20"/>
              </w:rPr>
              <w:t>dem na chráněné části přírody a </w:t>
            </w:r>
            <w:r w:rsidR="00605B25" w:rsidRPr="000C5EAE">
              <w:rPr>
                <w:rFonts w:ascii="Calibri" w:hAnsi="Calibri" w:cs="Calibri"/>
                <w:sz w:val="20"/>
                <w:szCs w:val="20"/>
              </w:rPr>
              <w:t>zachovat migrační prostupnost území. Doplňovat adaptační opatření na změnu klimatu jako součást výstavby (stínící prvky, retence vody, využití OZE, podpora ekologicky šetrnějších forem dopravy a podobně).</w:t>
            </w:r>
          </w:p>
        </w:tc>
        <w:tc>
          <w:tcPr>
            <w:tcW w:w="4114" w:type="dxa"/>
          </w:tcPr>
          <w:p w14:paraId="1FD6EE46" w14:textId="77777777" w:rsidR="004F1A4F" w:rsidRPr="00D62D46" w:rsidRDefault="00224FDA" w:rsidP="00D36262">
            <w:pPr>
              <w:pStyle w:val="Bezmezer"/>
              <w:jc w:val="both"/>
              <w:rPr>
                <w:sz w:val="20"/>
                <w:highlight w:val="yellow"/>
              </w:rPr>
            </w:pPr>
            <w:r w:rsidRPr="00DB3AF5">
              <w:rPr>
                <w:b/>
                <w:sz w:val="20"/>
              </w:rPr>
              <w:t xml:space="preserve">Akceptováno. </w:t>
            </w:r>
            <w:r w:rsidR="00543431" w:rsidRPr="00DB3AF5">
              <w:rPr>
                <w:sz w:val="20"/>
              </w:rPr>
              <w:t>Koncepce se přímo zabývá úsporou energie, využitím OZE, ekologicky šetrnýc</w:t>
            </w:r>
            <w:r w:rsidR="001C31C7" w:rsidRPr="00DB3AF5">
              <w:rPr>
                <w:sz w:val="20"/>
              </w:rPr>
              <w:t>h forem dopravy</w:t>
            </w:r>
            <w:r w:rsidR="00543431" w:rsidRPr="00DB3AF5">
              <w:rPr>
                <w:sz w:val="20"/>
              </w:rPr>
              <w:t xml:space="preserve"> a dalších (např. </w:t>
            </w:r>
            <w:r w:rsidR="001C31C7" w:rsidRPr="00DB3AF5">
              <w:rPr>
                <w:sz w:val="20"/>
              </w:rPr>
              <w:t>strategické cíle</w:t>
            </w:r>
            <w:r w:rsidR="00543431" w:rsidRPr="00DB3AF5">
              <w:rPr>
                <w:sz w:val="20"/>
              </w:rPr>
              <w:t xml:space="preserve"> </w:t>
            </w:r>
            <w:r w:rsidR="002C6FDC" w:rsidRPr="00DB3AF5">
              <w:rPr>
                <w:sz w:val="20"/>
              </w:rPr>
              <w:t xml:space="preserve">1.1, 2.2, </w:t>
            </w:r>
            <w:r w:rsidR="001C31C7" w:rsidRPr="00DB3AF5">
              <w:rPr>
                <w:sz w:val="20"/>
              </w:rPr>
              <w:t>2.3, 2.4</w:t>
            </w:r>
            <w:r w:rsidR="00C13B11" w:rsidRPr="00DB3AF5">
              <w:rPr>
                <w:sz w:val="20"/>
              </w:rPr>
              <w:t>, 6.1</w:t>
            </w:r>
            <w:r w:rsidR="00DB3AF5" w:rsidRPr="00DB3AF5">
              <w:rPr>
                <w:sz w:val="20"/>
              </w:rPr>
              <w:t>, 6.2, 6.3</w:t>
            </w:r>
            <w:r w:rsidR="00E110F1" w:rsidRPr="00DB3AF5">
              <w:rPr>
                <w:sz w:val="20"/>
              </w:rPr>
              <w:t>) a realizací ÚSES (zejm. strategický cíl 6.1)</w:t>
            </w:r>
            <w:r w:rsidR="00543431" w:rsidRPr="00DB3AF5">
              <w:rPr>
                <w:sz w:val="20"/>
              </w:rPr>
              <w:t xml:space="preserve">. </w:t>
            </w:r>
            <w:r w:rsidR="00D36262">
              <w:rPr>
                <w:sz w:val="20"/>
              </w:rPr>
              <w:t>Rovněž</w:t>
            </w:r>
            <w:r w:rsidR="00543431">
              <w:rPr>
                <w:sz w:val="20"/>
              </w:rPr>
              <w:t xml:space="preserve"> budou preferovány projekty, obsahující adaptační opatření na budovách</w:t>
            </w:r>
            <w:r w:rsidR="00543431" w:rsidRPr="00612963">
              <w:rPr>
                <w:sz w:val="20"/>
              </w:rPr>
              <w:t xml:space="preserve"> a v krajině.</w:t>
            </w:r>
            <w:r w:rsidR="00D36262">
              <w:rPr>
                <w:sz w:val="20"/>
              </w:rPr>
              <w:t xml:space="preserve"> Toto obsaženo v rámci opatření 2.4.5.</w:t>
            </w:r>
          </w:p>
        </w:tc>
      </w:tr>
      <w:tr w:rsidR="00091403" w:rsidRPr="00D62D46" w14:paraId="7C326285" w14:textId="77777777" w:rsidTr="00A61B34">
        <w:tc>
          <w:tcPr>
            <w:tcW w:w="5070" w:type="dxa"/>
          </w:tcPr>
          <w:p w14:paraId="27F8987E" w14:textId="77777777" w:rsidR="004F1A4F" w:rsidRPr="000C5EAE" w:rsidRDefault="00612963" w:rsidP="00354060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5EAE">
              <w:rPr>
                <w:rFonts w:ascii="Calibri" w:hAnsi="Calibri" w:cs="Calibri"/>
                <w:sz w:val="20"/>
                <w:szCs w:val="20"/>
              </w:rPr>
              <w:t xml:space="preserve">7) </w:t>
            </w:r>
            <w:r w:rsidR="00605B25" w:rsidRPr="000C5EAE">
              <w:rPr>
                <w:rFonts w:ascii="Calibri" w:hAnsi="Calibri" w:cs="Calibri"/>
                <w:sz w:val="20"/>
                <w:szCs w:val="20"/>
              </w:rPr>
              <w:t>Při realizaci sítí vysokého napětí zajistit vhodným technickým provedením ochranu ptáků před úrazem/smrtí elektrickým proudem.</w:t>
            </w:r>
          </w:p>
        </w:tc>
        <w:tc>
          <w:tcPr>
            <w:tcW w:w="4114" w:type="dxa"/>
          </w:tcPr>
          <w:p w14:paraId="06FEE8B7" w14:textId="77777777" w:rsidR="004F1A4F" w:rsidRPr="00D62D46" w:rsidRDefault="00E85312" w:rsidP="00A44482">
            <w:pPr>
              <w:pStyle w:val="Bezmezer"/>
              <w:jc w:val="both"/>
              <w:rPr>
                <w:sz w:val="20"/>
                <w:highlight w:val="yellow"/>
              </w:rPr>
            </w:pPr>
            <w:r w:rsidRPr="004464B6">
              <w:rPr>
                <w:b/>
                <w:sz w:val="20"/>
              </w:rPr>
              <w:t>Akceptováno.</w:t>
            </w:r>
            <w:r w:rsidRPr="004464B6">
              <w:rPr>
                <w:sz w:val="20"/>
              </w:rPr>
              <w:t xml:space="preserve"> </w:t>
            </w:r>
            <w:r w:rsidR="004464B6" w:rsidRPr="004464B6">
              <w:rPr>
                <w:sz w:val="20"/>
              </w:rPr>
              <w:t>Tento požadavek bude brán v úvahu při realizaci sítí vysokého napětí subjekty, které jsou k výstavbě sítí vysokého napětí zmocněny.</w:t>
            </w:r>
          </w:p>
        </w:tc>
      </w:tr>
      <w:tr w:rsidR="00091403" w:rsidRPr="00D62D46" w14:paraId="2034649F" w14:textId="77777777" w:rsidTr="00A61B34">
        <w:tc>
          <w:tcPr>
            <w:tcW w:w="5070" w:type="dxa"/>
          </w:tcPr>
          <w:p w14:paraId="33FA8D0E" w14:textId="77777777" w:rsidR="004F1A4F" w:rsidRPr="000C5EAE" w:rsidRDefault="007D1C87" w:rsidP="002624E9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5EAE">
              <w:rPr>
                <w:rFonts w:ascii="Calibri" w:hAnsi="Calibri" w:cs="Calibri"/>
                <w:sz w:val="20"/>
                <w:szCs w:val="20"/>
              </w:rPr>
              <w:t xml:space="preserve">8) </w:t>
            </w:r>
            <w:r w:rsidR="00605B25" w:rsidRPr="000C5EAE">
              <w:rPr>
                <w:rFonts w:ascii="Calibri" w:hAnsi="Calibri" w:cs="Calibri"/>
                <w:sz w:val="20"/>
                <w:szCs w:val="20"/>
              </w:rPr>
              <w:t>Podporu cestovního ruchu směrova</w:t>
            </w:r>
            <w:r w:rsidR="0089519B">
              <w:rPr>
                <w:rFonts w:ascii="Calibri" w:hAnsi="Calibri" w:cs="Calibri"/>
                <w:sz w:val="20"/>
                <w:szCs w:val="20"/>
              </w:rPr>
              <w:t>t zejména mimo chráněná území s </w:t>
            </w:r>
            <w:r w:rsidR="00605B25" w:rsidRPr="000C5EAE">
              <w:rPr>
                <w:rFonts w:ascii="Calibri" w:hAnsi="Calibri" w:cs="Calibri"/>
                <w:sz w:val="20"/>
                <w:szCs w:val="20"/>
              </w:rPr>
              <w:t xml:space="preserve">cílem rozmělnění intenzity návštěvnosti a její snížení zejména v cenných lokalitách. Provádět pravidelný průzkum návštěvnosti a použít jej jako podklad pro management </w:t>
            </w:r>
            <w:proofErr w:type="gramStart"/>
            <w:r w:rsidR="00605B25" w:rsidRPr="000C5EAE">
              <w:rPr>
                <w:rFonts w:ascii="Calibri" w:hAnsi="Calibri" w:cs="Calibri"/>
                <w:sz w:val="20"/>
                <w:szCs w:val="20"/>
              </w:rPr>
              <w:t>turizmu</w:t>
            </w:r>
            <w:proofErr w:type="gramEnd"/>
            <w:r w:rsidR="00605B25" w:rsidRPr="000C5EAE">
              <w:rPr>
                <w:rFonts w:ascii="Calibri" w:hAnsi="Calibri" w:cs="Calibri"/>
                <w:sz w:val="20"/>
                <w:szCs w:val="20"/>
              </w:rPr>
              <w:t>. V pří</w:t>
            </w:r>
            <w:r w:rsidR="0089519B">
              <w:rPr>
                <w:rFonts w:ascii="Calibri" w:hAnsi="Calibri" w:cs="Calibri"/>
                <w:sz w:val="20"/>
                <w:szCs w:val="20"/>
              </w:rPr>
              <w:t>padě podpory cestovního ruchu v </w:t>
            </w:r>
            <w:r w:rsidR="00605B25" w:rsidRPr="000C5EAE">
              <w:rPr>
                <w:rFonts w:ascii="Calibri" w:hAnsi="Calibri" w:cs="Calibri"/>
                <w:sz w:val="20"/>
                <w:szCs w:val="20"/>
              </w:rPr>
              <w:t>již exponovaných přírodních atraktivitách zajistit ochranu přírodních hodnot v území. Jakékoliv zásahy, u nichž by nebylo možno vyloučit negativní zásahy nebo ovlivnění (i zprostředkované) ZCHÚ a chráněných území soustavy Natura 2000 konzultovat včas s orgány ochrany přírody.</w:t>
            </w:r>
          </w:p>
        </w:tc>
        <w:tc>
          <w:tcPr>
            <w:tcW w:w="4114" w:type="dxa"/>
          </w:tcPr>
          <w:p w14:paraId="2E021034" w14:textId="77777777" w:rsidR="004F1A4F" w:rsidRPr="00D62D46" w:rsidRDefault="00351D17" w:rsidP="00AB79FC">
            <w:pPr>
              <w:pStyle w:val="Bezmezer"/>
              <w:jc w:val="both"/>
              <w:rPr>
                <w:sz w:val="20"/>
                <w:highlight w:val="yellow"/>
              </w:rPr>
            </w:pPr>
            <w:r w:rsidRPr="00062D70">
              <w:rPr>
                <w:b/>
                <w:sz w:val="20"/>
              </w:rPr>
              <w:t xml:space="preserve">Akceptováno. </w:t>
            </w:r>
            <w:r w:rsidR="0089519B" w:rsidRPr="00062D70">
              <w:rPr>
                <w:sz w:val="20"/>
              </w:rPr>
              <w:t>Koncepce se</w:t>
            </w:r>
            <w:r w:rsidR="00B16E4E" w:rsidRPr="00062D70">
              <w:rPr>
                <w:sz w:val="20"/>
              </w:rPr>
              <w:t xml:space="preserve"> přímo</w:t>
            </w:r>
            <w:r w:rsidR="0089519B" w:rsidRPr="00062D70">
              <w:rPr>
                <w:sz w:val="20"/>
              </w:rPr>
              <w:t xml:space="preserve"> zabývá </w:t>
            </w:r>
            <w:r w:rsidR="00B16E4E" w:rsidRPr="00062D70">
              <w:rPr>
                <w:sz w:val="20"/>
              </w:rPr>
              <w:t>environmentálně šetrným využitím potenciálu území Šumavy a dalších území s vyšší koncentrací přírodních hodnot</w:t>
            </w:r>
            <w:r w:rsidR="00B01E57" w:rsidRPr="00062D70">
              <w:rPr>
                <w:sz w:val="20"/>
              </w:rPr>
              <w:t xml:space="preserve"> a další</w:t>
            </w:r>
            <w:r w:rsidR="00B16E4E" w:rsidRPr="00062D70">
              <w:rPr>
                <w:sz w:val="20"/>
              </w:rPr>
              <w:t xml:space="preserve"> </w:t>
            </w:r>
            <w:r w:rsidR="0089519B" w:rsidRPr="00062D70">
              <w:rPr>
                <w:sz w:val="20"/>
              </w:rPr>
              <w:t xml:space="preserve">(např. opatření </w:t>
            </w:r>
            <w:r w:rsidR="00AB79FC" w:rsidRPr="00062D70">
              <w:rPr>
                <w:sz w:val="20"/>
              </w:rPr>
              <w:t>7.1.8.</w:t>
            </w:r>
            <w:r w:rsidR="00B01E57" w:rsidRPr="00062D70">
              <w:rPr>
                <w:sz w:val="20"/>
              </w:rPr>
              <w:t>, strategický cíl 7.2</w:t>
            </w:r>
            <w:r w:rsidR="0089519B" w:rsidRPr="00062D70">
              <w:rPr>
                <w:sz w:val="20"/>
              </w:rPr>
              <w:t xml:space="preserve">). </w:t>
            </w:r>
            <w:r w:rsidR="00D36262" w:rsidRPr="00965EE6">
              <w:rPr>
                <w:rFonts w:asciiTheme="minorHAnsi" w:hAnsiTheme="minorHAnsi" w:cstheme="minorHAnsi"/>
                <w:sz w:val="20"/>
              </w:rPr>
              <w:t xml:space="preserve">Zohledněno </w:t>
            </w:r>
            <w:r w:rsidR="00D36262">
              <w:rPr>
                <w:rFonts w:asciiTheme="minorHAnsi" w:hAnsiTheme="minorHAnsi" w:cstheme="minorHAnsi"/>
                <w:sz w:val="20"/>
              </w:rPr>
              <w:t xml:space="preserve">také </w:t>
            </w:r>
            <w:r w:rsidR="00D36262" w:rsidRPr="00965EE6">
              <w:rPr>
                <w:rFonts w:asciiTheme="minorHAnsi" w:hAnsiTheme="minorHAnsi" w:cstheme="minorHAnsi"/>
                <w:sz w:val="20"/>
              </w:rPr>
              <w:t>v rámci Strategického cíle 6.1: Ochrana životního prostředí</w:t>
            </w:r>
            <w:r w:rsidR="00D36262">
              <w:rPr>
                <w:rFonts w:asciiTheme="minorHAnsi" w:hAnsiTheme="minorHAnsi" w:cstheme="minorHAnsi"/>
                <w:sz w:val="20"/>
              </w:rPr>
              <w:t xml:space="preserve">. </w:t>
            </w:r>
            <w:r w:rsidR="0089519B" w:rsidRPr="00062D70">
              <w:rPr>
                <w:sz w:val="20"/>
              </w:rPr>
              <w:t>Na vhodných lokalitách bude</w:t>
            </w:r>
            <w:r w:rsidR="0089519B">
              <w:rPr>
                <w:sz w:val="20"/>
              </w:rPr>
              <w:t xml:space="preserve"> prováděn průzkum návštěvnosti (např. ověřeným automatickým či fyzickým sčítáním),</w:t>
            </w:r>
            <w:r w:rsidR="0089519B" w:rsidRPr="005F118E">
              <w:rPr>
                <w:sz w:val="20"/>
              </w:rPr>
              <w:t xml:space="preserve"> který bude podkladem pro</w:t>
            </w:r>
            <w:r w:rsidR="0089519B">
              <w:rPr>
                <w:sz w:val="20"/>
              </w:rPr>
              <w:t xml:space="preserve"> management turismu</w:t>
            </w:r>
            <w:r w:rsidR="0089519B" w:rsidRPr="003912D1">
              <w:rPr>
                <w:sz w:val="20"/>
              </w:rPr>
              <w:t>. V již exponovaných přírodních lokalitách bude zajištěna ochrana přírodních hodnot v území. Konkrétní projekty či aktivity, které by vyvolávaly potenciální negativní dopady, budou podléhat rozhodnutí orgánů ochrany přírody</w:t>
            </w:r>
            <w:r w:rsidR="0089519B">
              <w:rPr>
                <w:sz w:val="20"/>
              </w:rPr>
              <w:t>.</w:t>
            </w:r>
            <w:r w:rsidR="00D36262">
              <w:rPr>
                <w:sz w:val="20"/>
              </w:rPr>
              <w:t xml:space="preserve"> </w:t>
            </w:r>
            <w:r w:rsidR="00D36262" w:rsidRPr="00965EE6">
              <w:rPr>
                <w:rFonts w:asciiTheme="minorHAnsi" w:hAnsiTheme="minorHAnsi" w:cstheme="minorHAnsi"/>
                <w:sz w:val="20"/>
              </w:rPr>
              <w:t xml:space="preserve">Zohledněno </w:t>
            </w:r>
            <w:r w:rsidR="00D36262">
              <w:rPr>
                <w:rFonts w:asciiTheme="minorHAnsi" w:hAnsiTheme="minorHAnsi" w:cstheme="minorHAnsi"/>
                <w:sz w:val="20"/>
              </w:rPr>
              <w:t xml:space="preserve">také </w:t>
            </w:r>
            <w:r w:rsidR="00D36262" w:rsidRPr="00965EE6">
              <w:rPr>
                <w:rFonts w:asciiTheme="minorHAnsi" w:hAnsiTheme="minorHAnsi" w:cstheme="minorHAnsi"/>
                <w:sz w:val="20"/>
              </w:rPr>
              <w:t>v rámci Strategického cíle 6.1: Ochrana životního prostředí</w:t>
            </w:r>
            <w:r w:rsidR="00D36262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091403" w:rsidRPr="00D62D46" w14:paraId="276F3FA9" w14:textId="77777777" w:rsidTr="00A61B34">
        <w:trPr>
          <w:trHeight w:val="70"/>
        </w:trPr>
        <w:tc>
          <w:tcPr>
            <w:tcW w:w="5070" w:type="dxa"/>
          </w:tcPr>
          <w:p w14:paraId="1504F76A" w14:textId="77777777" w:rsidR="004F1A4F" w:rsidRPr="000C5EAE" w:rsidRDefault="00950FC8" w:rsidP="002624E9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5EAE">
              <w:rPr>
                <w:rFonts w:ascii="Calibri" w:hAnsi="Calibri" w:cs="Calibri"/>
                <w:sz w:val="20"/>
                <w:szCs w:val="20"/>
              </w:rPr>
              <w:t xml:space="preserve">9) </w:t>
            </w:r>
            <w:r w:rsidR="00605B25" w:rsidRPr="000C5EAE">
              <w:rPr>
                <w:rFonts w:ascii="Calibri" w:hAnsi="Calibri" w:cs="Calibri"/>
                <w:sz w:val="20"/>
                <w:szCs w:val="20"/>
              </w:rPr>
              <w:t xml:space="preserve">Dbát na ochranu zemědělské a lesní půdy, minimalizovat zábory půdního fondu především v I. a II. třídě </w:t>
            </w:r>
            <w:r w:rsidR="00020F6B">
              <w:rPr>
                <w:rFonts w:ascii="Calibri" w:hAnsi="Calibri" w:cs="Calibri"/>
                <w:sz w:val="20"/>
                <w:szCs w:val="20"/>
              </w:rPr>
              <w:t>ochrany ZPF, zamezovat větrné a </w:t>
            </w:r>
            <w:r w:rsidR="00605B25" w:rsidRPr="000C5EAE">
              <w:rPr>
                <w:rFonts w:ascii="Calibri" w:hAnsi="Calibri" w:cs="Calibri"/>
                <w:sz w:val="20"/>
                <w:szCs w:val="20"/>
              </w:rPr>
              <w:t>vodní erozi půdy, zvýšit ochranu před důsledky intenzivního hospodaření, podporovat ekologické udržitelné zemědělství, omezit fragmentaci krajiny a zachovávat krajinný ráz.</w:t>
            </w:r>
          </w:p>
        </w:tc>
        <w:tc>
          <w:tcPr>
            <w:tcW w:w="4114" w:type="dxa"/>
          </w:tcPr>
          <w:p w14:paraId="7A945434" w14:textId="77777777" w:rsidR="004F1A4F" w:rsidRPr="00D62D46" w:rsidRDefault="00950FC8" w:rsidP="00D36262">
            <w:pPr>
              <w:pStyle w:val="Bezmezer"/>
              <w:jc w:val="both"/>
              <w:rPr>
                <w:sz w:val="20"/>
                <w:highlight w:val="yellow"/>
              </w:rPr>
            </w:pPr>
            <w:r w:rsidRPr="00A41116">
              <w:rPr>
                <w:b/>
                <w:sz w:val="20"/>
              </w:rPr>
              <w:t xml:space="preserve">Akceptováno. </w:t>
            </w:r>
            <w:r w:rsidR="00020F6B" w:rsidRPr="00A41116">
              <w:rPr>
                <w:sz w:val="20"/>
              </w:rPr>
              <w:t>Ochrana zemědělské a lesní půdy je zohledněna zejména v</w:t>
            </w:r>
            <w:r w:rsidR="00672CC5" w:rsidRPr="00A41116">
              <w:rPr>
                <w:sz w:val="20"/>
              </w:rPr>
              <w:t>e strategických cílech 1.4</w:t>
            </w:r>
            <w:r w:rsidR="00856E67" w:rsidRPr="00A41116">
              <w:rPr>
                <w:sz w:val="20"/>
              </w:rPr>
              <w:t>, 6.1, 6.2</w:t>
            </w:r>
            <w:r w:rsidR="00A41116" w:rsidRPr="00A41116">
              <w:rPr>
                <w:sz w:val="20"/>
              </w:rPr>
              <w:t xml:space="preserve"> apod</w:t>
            </w:r>
            <w:r w:rsidR="00020F6B" w:rsidRPr="00A41116">
              <w:rPr>
                <w:sz w:val="20"/>
              </w:rPr>
              <w:t xml:space="preserve">. </w:t>
            </w:r>
          </w:p>
        </w:tc>
      </w:tr>
      <w:tr w:rsidR="00091403" w:rsidRPr="00D62D46" w14:paraId="28CA6731" w14:textId="77777777" w:rsidTr="00A61B34">
        <w:tc>
          <w:tcPr>
            <w:tcW w:w="5070" w:type="dxa"/>
          </w:tcPr>
          <w:p w14:paraId="71E9F81B" w14:textId="77777777" w:rsidR="004F1A4F" w:rsidRPr="000C5EAE" w:rsidRDefault="00F46793" w:rsidP="006B020D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5EAE">
              <w:rPr>
                <w:rFonts w:ascii="Calibri" w:hAnsi="Calibri" w:cs="Calibri"/>
                <w:sz w:val="20"/>
                <w:szCs w:val="20"/>
              </w:rPr>
              <w:t xml:space="preserve">10) </w:t>
            </w:r>
            <w:r w:rsidR="00605B25" w:rsidRPr="000C5EAE">
              <w:rPr>
                <w:rFonts w:ascii="Calibri" w:hAnsi="Calibri" w:cs="Calibri"/>
                <w:sz w:val="20"/>
                <w:szCs w:val="20"/>
              </w:rPr>
              <w:t xml:space="preserve">Pro výstavbu přednostně využívat plochy </w:t>
            </w:r>
            <w:proofErr w:type="spellStart"/>
            <w:r w:rsidR="00605B25" w:rsidRPr="000C5EAE">
              <w:rPr>
                <w:rFonts w:ascii="Calibri" w:hAnsi="Calibri" w:cs="Calibri"/>
                <w:sz w:val="20"/>
                <w:szCs w:val="20"/>
              </w:rPr>
              <w:t>brownfields</w:t>
            </w:r>
            <w:proofErr w:type="spellEnd"/>
            <w:r w:rsidR="00605B25" w:rsidRPr="000C5EAE">
              <w:rPr>
                <w:rFonts w:ascii="Calibri" w:hAnsi="Calibri" w:cs="Calibri"/>
                <w:sz w:val="20"/>
                <w:szCs w:val="20"/>
              </w:rPr>
              <w:t>, případně výstavbu směřovat do ploch s nižší bonitou půdy. Upřednostňovat zahušťování zástavby (s ohledem na udržitelný rozvoj území) před zastavováním ve volné krajině.</w:t>
            </w:r>
          </w:p>
        </w:tc>
        <w:tc>
          <w:tcPr>
            <w:tcW w:w="4114" w:type="dxa"/>
          </w:tcPr>
          <w:p w14:paraId="37E0091D" w14:textId="77777777" w:rsidR="004F1A4F" w:rsidRPr="00D62D46" w:rsidRDefault="00F46793" w:rsidP="00E35851">
            <w:pPr>
              <w:pStyle w:val="Bezmezer"/>
              <w:jc w:val="both"/>
              <w:rPr>
                <w:sz w:val="20"/>
                <w:highlight w:val="yellow"/>
              </w:rPr>
            </w:pPr>
            <w:r w:rsidRPr="00E35851">
              <w:rPr>
                <w:b/>
                <w:sz w:val="20"/>
              </w:rPr>
              <w:t>Akceptováno.</w:t>
            </w:r>
            <w:r w:rsidR="005A4993" w:rsidRPr="00E35851">
              <w:rPr>
                <w:b/>
                <w:sz w:val="20"/>
              </w:rPr>
              <w:t xml:space="preserve"> </w:t>
            </w:r>
            <w:r w:rsidR="00444EBB" w:rsidRPr="00E35851">
              <w:rPr>
                <w:sz w:val="20"/>
              </w:rPr>
              <w:t xml:space="preserve">Koncepce se přímo zabývá revitalizací </w:t>
            </w:r>
            <w:proofErr w:type="spellStart"/>
            <w:r w:rsidR="00444EBB" w:rsidRPr="00E35851">
              <w:rPr>
                <w:sz w:val="20"/>
              </w:rPr>
              <w:t>brownfields</w:t>
            </w:r>
            <w:proofErr w:type="spellEnd"/>
            <w:r w:rsidR="00444EBB" w:rsidRPr="00E35851">
              <w:rPr>
                <w:sz w:val="20"/>
              </w:rPr>
              <w:t xml:space="preserve">, ochranou zemědělské krajiny před </w:t>
            </w:r>
            <w:r w:rsidR="00444EBB" w:rsidRPr="00FC2382">
              <w:rPr>
                <w:sz w:val="20"/>
              </w:rPr>
              <w:t xml:space="preserve">zástavbou a podporou udržitelného rozvoje (např. </w:t>
            </w:r>
            <w:r w:rsidR="005F7C22" w:rsidRPr="00FC2382">
              <w:rPr>
                <w:sz w:val="20"/>
              </w:rPr>
              <w:t xml:space="preserve">opatření 1.4.12., </w:t>
            </w:r>
            <w:r w:rsidR="00E35851" w:rsidRPr="00FC2382">
              <w:rPr>
                <w:sz w:val="20"/>
              </w:rPr>
              <w:t>strategický cíl 6.1</w:t>
            </w:r>
            <w:r w:rsidR="00444EBB" w:rsidRPr="00FC2382">
              <w:rPr>
                <w:sz w:val="20"/>
              </w:rPr>
              <w:t>).</w:t>
            </w:r>
          </w:p>
        </w:tc>
      </w:tr>
      <w:tr w:rsidR="00091403" w:rsidRPr="00D62D46" w14:paraId="6B20E4C0" w14:textId="77777777" w:rsidTr="00A61B34">
        <w:tc>
          <w:tcPr>
            <w:tcW w:w="5070" w:type="dxa"/>
          </w:tcPr>
          <w:p w14:paraId="77E58B7A" w14:textId="77777777" w:rsidR="004F1A4F" w:rsidRPr="000C5EAE" w:rsidRDefault="00F46793" w:rsidP="00354060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5EAE">
              <w:rPr>
                <w:rFonts w:ascii="Calibri" w:hAnsi="Calibri" w:cs="Calibri"/>
                <w:sz w:val="20"/>
                <w:szCs w:val="20"/>
              </w:rPr>
              <w:t xml:space="preserve">11) </w:t>
            </w:r>
            <w:r w:rsidR="00294BFC" w:rsidRPr="000C5EAE">
              <w:rPr>
                <w:rFonts w:ascii="Calibri" w:hAnsi="Calibri" w:cs="Calibri"/>
                <w:sz w:val="20"/>
                <w:szCs w:val="20"/>
              </w:rPr>
              <w:t>Při výstavbě nových či regeneraci stávajících budov uplatňovat adaptační prvky (zelené fasády, střechy, v</w:t>
            </w:r>
            <w:r w:rsidR="007B4864">
              <w:rPr>
                <w:rFonts w:ascii="Calibri" w:hAnsi="Calibri" w:cs="Calibri"/>
                <w:sz w:val="20"/>
                <w:szCs w:val="20"/>
              </w:rPr>
              <w:t>yužití šedých vod a podobně). V </w:t>
            </w:r>
            <w:r w:rsidR="00294BFC" w:rsidRPr="000C5EAE">
              <w:rPr>
                <w:rFonts w:ascii="Calibri" w:hAnsi="Calibri" w:cs="Calibri"/>
                <w:sz w:val="20"/>
                <w:szCs w:val="20"/>
              </w:rPr>
              <w:t xml:space="preserve">rámci modernizace budov </w:t>
            </w:r>
            <w:r w:rsidR="00294BFC" w:rsidRPr="000C5EAE">
              <w:rPr>
                <w:rFonts w:ascii="Calibri" w:hAnsi="Calibri" w:cs="Calibri"/>
                <w:sz w:val="20"/>
                <w:szCs w:val="20"/>
              </w:rPr>
              <w:lastRenderedPageBreak/>
              <w:t>preferovat energeticky úsporné instalace (například zateplení budov a jiné) a tím snižovat i vlivy na klima.</w:t>
            </w:r>
          </w:p>
        </w:tc>
        <w:tc>
          <w:tcPr>
            <w:tcW w:w="4114" w:type="dxa"/>
          </w:tcPr>
          <w:p w14:paraId="3C24CEDE" w14:textId="77777777" w:rsidR="004F1A4F" w:rsidRPr="00D62D46" w:rsidRDefault="00226EEE" w:rsidP="00D36262">
            <w:pPr>
              <w:pStyle w:val="Bezmezer"/>
              <w:jc w:val="both"/>
              <w:rPr>
                <w:sz w:val="20"/>
                <w:highlight w:val="yellow"/>
              </w:rPr>
            </w:pPr>
            <w:r w:rsidRPr="006E30FC">
              <w:rPr>
                <w:b/>
                <w:sz w:val="20"/>
              </w:rPr>
              <w:lastRenderedPageBreak/>
              <w:t>Akceptováno.</w:t>
            </w:r>
            <w:r w:rsidRPr="006E30FC">
              <w:rPr>
                <w:sz w:val="20"/>
              </w:rPr>
              <w:t xml:space="preserve"> </w:t>
            </w:r>
            <w:r w:rsidR="006E30FC" w:rsidRPr="006E30FC">
              <w:rPr>
                <w:sz w:val="20"/>
              </w:rPr>
              <w:t>Koncepce se přímo zabývá úsporou energie, využitím OZE, ekologicky šetrných forem dopravy a</w:t>
            </w:r>
            <w:r w:rsidR="006E30FC" w:rsidRPr="00DB3AF5">
              <w:rPr>
                <w:sz w:val="20"/>
              </w:rPr>
              <w:t> dalších (např. strategické cíle 1.1, 2.2, 2.3, 2.4, 6.1, 6.2, 6.3)</w:t>
            </w:r>
            <w:r w:rsidR="006E30FC">
              <w:rPr>
                <w:sz w:val="20"/>
              </w:rPr>
              <w:t>.</w:t>
            </w:r>
            <w:r w:rsidR="006E30FC" w:rsidRPr="00DB3AF5">
              <w:rPr>
                <w:sz w:val="20"/>
              </w:rPr>
              <w:t xml:space="preserve"> </w:t>
            </w:r>
          </w:p>
        </w:tc>
      </w:tr>
      <w:tr w:rsidR="00091403" w:rsidRPr="00D62D46" w14:paraId="5740DF76" w14:textId="77777777" w:rsidTr="00A61B34">
        <w:tc>
          <w:tcPr>
            <w:tcW w:w="5070" w:type="dxa"/>
          </w:tcPr>
          <w:p w14:paraId="67F48C3D" w14:textId="77777777" w:rsidR="004F1A4F" w:rsidRPr="000C5EAE" w:rsidRDefault="00BE73E8" w:rsidP="006B020D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5EAE">
              <w:rPr>
                <w:rFonts w:ascii="Calibri" w:hAnsi="Calibri" w:cs="Calibri"/>
                <w:sz w:val="20"/>
                <w:szCs w:val="20"/>
              </w:rPr>
              <w:t xml:space="preserve">12) </w:t>
            </w:r>
            <w:r w:rsidR="00294BFC" w:rsidRPr="000C5EAE">
              <w:rPr>
                <w:rFonts w:ascii="Calibri" w:hAnsi="Calibri" w:cs="Calibri"/>
                <w:sz w:val="20"/>
                <w:szCs w:val="20"/>
              </w:rPr>
              <w:t>Záměry, které znamenají realizaci nového stacionárního zdroje znečišťování ovzduší, je nutno vždy zvažovat s ohledem na stávající stav imisních koncentrací ovzduší v území.</w:t>
            </w:r>
          </w:p>
        </w:tc>
        <w:tc>
          <w:tcPr>
            <w:tcW w:w="4114" w:type="dxa"/>
          </w:tcPr>
          <w:p w14:paraId="2BB4EEFB" w14:textId="77777777" w:rsidR="004F1A4F" w:rsidRPr="00D62D46" w:rsidRDefault="00F46793" w:rsidP="00D36262">
            <w:pPr>
              <w:pStyle w:val="Bezmezer"/>
              <w:jc w:val="both"/>
              <w:rPr>
                <w:sz w:val="20"/>
                <w:highlight w:val="yellow"/>
              </w:rPr>
            </w:pPr>
            <w:r w:rsidRPr="00D636EA">
              <w:rPr>
                <w:b/>
                <w:sz w:val="20"/>
              </w:rPr>
              <w:t>Akceptováno.</w:t>
            </w:r>
            <w:r w:rsidRPr="00D636EA">
              <w:rPr>
                <w:sz w:val="20"/>
              </w:rPr>
              <w:t xml:space="preserve"> </w:t>
            </w:r>
            <w:r w:rsidR="00616769" w:rsidRPr="00D636EA">
              <w:rPr>
                <w:sz w:val="20"/>
              </w:rPr>
              <w:t>Výběr projektů bude podléhat environmentálním kritériím pro výběr</w:t>
            </w:r>
            <w:r w:rsidR="00616769" w:rsidRPr="001B0B9E">
              <w:rPr>
                <w:sz w:val="20"/>
              </w:rPr>
              <w:t xml:space="preserve"> projektů, na jejichž základě budou následně schvalovány či doporučeny k realizaci pouze ty projekty, při jejichž zpracování </w:t>
            </w:r>
            <w:r w:rsidR="00616769">
              <w:rPr>
                <w:sz w:val="20"/>
              </w:rPr>
              <w:t xml:space="preserve">nedojde ke zhoršení stávajících imisních koncentrací ovzduší v území. </w:t>
            </w:r>
            <w:r w:rsidR="00D36262">
              <w:rPr>
                <w:sz w:val="20"/>
              </w:rPr>
              <w:t>Zohledněno v rámci opatření 6.1.12.</w:t>
            </w:r>
          </w:p>
        </w:tc>
      </w:tr>
      <w:tr w:rsidR="00091403" w:rsidRPr="00D62D46" w14:paraId="129BD805" w14:textId="77777777" w:rsidTr="00A61B34">
        <w:tc>
          <w:tcPr>
            <w:tcW w:w="5070" w:type="dxa"/>
          </w:tcPr>
          <w:p w14:paraId="6EC98842" w14:textId="77777777" w:rsidR="004F1A4F" w:rsidRPr="000C5EAE" w:rsidRDefault="00E17E65" w:rsidP="00354060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5EAE">
              <w:rPr>
                <w:rFonts w:ascii="Calibri" w:hAnsi="Calibri" w:cs="Calibri"/>
                <w:sz w:val="20"/>
                <w:szCs w:val="20"/>
              </w:rPr>
              <w:t xml:space="preserve">13) </w:t>
            </w:r>
            <w:r w:rsidR="00294BFC" w:rsidRPr="000C5EAE">
              <w:rPr>
                <w:rFonts w:ascii="Calibri" w:hAnsi="Calibri" w:cs="Calibri"/>
                <w:sz w:val="20"/>
                <w:szCs w:val="20"/>
              </w:rPr>
              <w:t>Dále podporovat opatření pro snižování emisí z lokálních topenišť.</w:t>
            </w:r>
          </w:p>
        </w:tc>
        <w:tc>
          <w:tcPr>
            <w:tcW w:w="4114" w:type="dxa"/>
          </w:tcPr>
          <w:p w14:paraId="447D3660" w14:textId="77777777" w:rsidR="004F1A4F" w:rsidRPr="00D62D46" w:rsidRDefault="003063D7" w:rsidP="00735D78">
            <w:pPr>
              <w:pStyle w:val="Bezmezer"/>
              <w:jc w:val="both"/>
              <w:rPr>
                <w:sz w:val="20"/>
                <w:highlight w:val="yellow"/>
              </w:rPr>
            </w:pPr>
            <w:r w:rsidRPr="009A2EA4">
              <w:rPr>
                <w:b/>
                <w:sz w:val="20"/>
              </w:rPr>
              <w:t xml:space="preserve">Akceptováno. </w:t>
            </w:r>
            <w:r w:rsidR="00735D78" w:rsidRPr="009A2EA4">
              <w:rPr>
                <w:sz w:val="20"/>
              </w:rPr>
              <w:t>Nadále budou podporovány</w:t>
            </w:r>
            <w:r w:rsidR="00631ACD" w:rsidRPr="009A2EA4">
              <w:rPr>
                <w:sz w:val="20"/>
              </w:rPr>
              <w:t xml:space="preserve"> </w:t>
            </w:r>
            <w:r w:rsidR="00735D78" w:rsidRPr="009A2EA4">
              <w:rPr>
                <w:sz w:val="20"/>
              </w:rPr>
              <w:t>aktivity</w:t>
            </w:r>
            <w:r w:rsidR="00631ACD" w:rsidRPr="009A2EA4">
              <w:rPr>
                <w:sz w:val="20"/>
              </w:rPr>
              <w:t xml:space="preserve"> ke snižování</w:t>
            </w:r>
            <w:r w:rsidR="0092031D" w:rsidRPr="009A2EA4">
              <w:rPr>
                <w:sz w:val="20"/>
              </w:rPr>
              <w:t xml:space="preserve"> emisí z lokálních topenišť (např. opatření 2.4.7.)</w:t>
            </w:r>
            <w:r w:rsidR="00631ACD" w:rsidRPr="009A2EA4">
              <w:rPr>
                <w:sz w:val="20"/>
              </w:rPr>
              <w:t>.</w:t>
            </w:r>
            <w:r w:rsidR="00D36262">
              <w:rPr>
                <w:sz w:val="20"/>
              </w:rPr>
              <w:t xml:space="preserve"> Zohledněno také v rámci opatření 6.1.12.</w:t>
            </w:r>
          </w:p>
        </w:tc>
      </w:tr>
      <w:tr w:rsidR="00091403" w:rsidRPr="00D62D46" w14:paraId="583131F3" w14:textId="77777777" w:rsidTr="00A61B34">
        <w:tc>
          <w:tcPr>
            <w:tcW w:w="5070" w:type="dxa"/>
          </w:tcPr>
          <w:p w14:paraId="7FBAF4CE" w14:textId="77777777" w:rsidR="004F1A4F" w:rsidRPr="000C5EAE" w:rsidRDefault="00E17E65" w:rsidP="00354060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5EAE">
              <w:rPr>
                <w:rFonts w:ascii="Calibri" w:hAnsi="Calibri" w:cs="Calibri"/>
                <w:sz w:val="20"/>
                <w:szCs w:val="20"/>
              </w:rPr>
              <w:t xml:space="preserve">14) </w:t>
            </w:r>
            <w:r w:rsidR="00294BFC" w:rsidRPr="000C5EAE">
              <w:rPr>
                <w:rFonts w:ascii="Calibri" w:hAnsi="Calibri" w:cs="Calibri"/>
                <w:sz w:val="20"/>
                <w:szCs w:val="20"/>
              </w:rPr>
              <w:t>Podporovat využívání hromadné dopravy na úkor individuální automobilové dopravy, podporovat bezpečnou cyklistickou a pěší dopravu. Kromě zvýšení konkurenceschopnosti hromadné, cykl</w:t>
            </w:r>
            <w:r w:rsidR="003B2FC1">
              <w:rPr>
                <w:rFonts w:ascii="Calibri" w:hAnsi="Calibri" w:cs="Calibri"/>
                <w:sz w:val="20"/>
                <w:szCs w:val="20"/>
              </w:rPr>
              <w:t>istické a </w:t>
            </w:r>
            <w:r w:rsidR="00294BFC" w:rsidRPr="000C5EAE">
              <w:rPr>
                <w:rFonts w:ascii="Calibri" w:hAnsi="Calibri" w:cs="Calibri"/>
                <w:sz w:val="20"/>
                <w:szCs w:val="20"/>
              </w:rPr>
              <w:t>pěší dopravy zlepšováním podmínek pro jejich využívání (komfort, telematika, záchytná parkoviště a další), zvážit restrikci individuální automobilové dopravy prostřednictvím vytváření nízkoemisních zón, progresivních cen parkování a podobně.</w:t>
            </w:r>
          </w:p>
        </w:tc>
        <w:tc>
          <w:tcPr>
            <w:tcW w:w="4114" w:type="dxa"/>
          </w:tcPr>
          <w:p w14:paraId="424E7D7E" w14:textId="77777777" w:rsidR="004F1A4F" w:rsidRPr="00D62D46" w:rsidRDefault="00506E25" w:rsidP="009A10EC">
            <w:pPr>
              <w:pStyle w:val="Bezmezer"/>
              <w:jc w:val="both"/>
              <w:rPr>
                <w:sz w:val="20"/>
                <w:highlight w:val="yellow"/>
              </w:rPr>
            </w:pPr>
            <w:r w:rsidRPr="001B40B2">
              <w:rPr>
                <w:b/>
                <w:sz w:val="20"/>
              </w:rPr>
              <w:t>Akceptováno.</w:t>
            </w:r>
            <w:r w:rsidRPr="001B40B2">
              <w:rPr>
                <w:sz w:val="20"/>
              </w:rPr>
              <w:t xml:space="preserve"> </w:t>
            </w:r>
            <w:r w:rsidR="003B2FC1" w:rsidRPr="001B40B2">
              <w:rPr>
                <w:sz w:val="20"/>
              </w:rPr>
              <w:t xml:space="preserve">V rámci koncepce jsou navrhována opatření, která podporují preferenci hromadné, pěší a cyklistické dopravy před </w:t>
            </w:r>
            <w:r w:rsidR="003B2FC1" w:rsidRPr="002919D4">
              <w:rPr>
                <w:sz w:val="20"/>
              </w:rPr>
              <w:t>individuální automobilovou dopravou</w:t>
            </w:r>
            <w:r w:rsidR="00B075DC" w:rsidRPr="002919D4">
              <w:rPr>
                <w:sz w:val="20"/>
              </w:rPr>
              <w:t>, dále je podporována telematika, záchytná parkoviště a další</w:t>
            </w:r>
            <w:r w:rsidR="003B2FC1" w:rsidRPr="002919D4">
              <w:rPr>
                <w:sz w:val="20"/>
              </w:rPr>
              <w:t xml:space="preserve"> (např. opatření </w:t>
            </w:r>
            <w:r w:rsidR="00BB6188" w:rsidRPr="002919D4">
              <w:rPr>
                <w:sz w:val="20"/>
              </w:rPr>
              <w:t>1.1.15., 2.2.19., strategické</w:t>
            </w:r>
            <w:r w:rsidR="009A10EC" w:rsidRPr="002919D4">
              <w:rPr>
                <w:sz w:val="20"/>
              </w:rPr>
              <w:t xml:space="preserve"> cíl</w:t>
            </w:r>
            <w:r w:rsidR="00BB6188" w:rsidRPr="002919D4">
              <w:rPr>
                <w:sz w:val="20"/>
              </w:rPr>
              <w:t>e</w:t>
            </w:r>
            <w:r w:rsidR="009A10EC" w:rsidRPr="002919D4">
              <w:rPr>
                <w:sz w:val="20"/>
              </w:rPr>
              <w:t xml:space="preserve"> </w:t>
            </w:r>
            <w:r w:rsidR="00BB6188" w:rsidRPr="002919D4">
              <w:rPr>
                <w:sz w:val="20"/>
              </w:rPr>
              <w:t xml:space="preserve">2.2, </w:t>
            </w:r>
            <w:r w:rsidR="009A10EC" w:rsidRPr="002919D4">
              <w:rPr>
                <w:sz w:val="20"/>
              </w:rPr>
              <w:t>2.3</w:t>
            </w:r>
            <w:r w:rsidR="003B2FC1" w:rsidRPr="002919D4">
              <w:rPr>
                <w:sz w:val="20"/>
              </w:rPr>
              <w:t>). Zavedení nízkoemisních zón dle zákona č. 201/2012</w:t>
            </w:r>
            <w:r w:rsidR="003B2FC1" w:rsidRPr="00612963">
              <w:rPr>
                <w:sz w:val="20"/>
              </w:rPr>
              <w:t xml:space="preserve"> Sb., o ochraně ovzduší, ve znění pozdějších předpisů, je v pravomoci rozhodnutí obcí (podobně jako progresivní ceny parkování) a předkladatel koncepce je bude podporovat tam, kde to místní podmínky umožní (konzultace, administrativní podpora, produkty EVVO</w:t>
            </w:r>
            <w:r w:rsidR="003B2FC1">
              <w:rPr>
                <w:sz w:val="20"/>
              </w:rPr>
              <w:t>)</w:t>
            </w:r>
            <w:r w:rsidR="003B2FC1" w:rsidRPr="00612963">
              <w:rPr>
                <w:sz w:val="20"/>
              </w:rPr>
              <w:t>.</w:t>
            </w:r>
          </w:p>
        </w:tc>
      </w:tr>
      <w:tr w:rsidR="00091403" w:rsidRPr="00D62D46" w14:paraId="48345ED5" w14:textId="77777777" w:rsidTr="00A61B34">
        <w:tc>
          <w:tcPr>
            <w:tcW w:w="5070" w:type="dxa"/>
          </w:tcPr>
          <w:p w14:paraId="725615AF" w14:textId="77777777" w:rsidR="004F1A4F" w:rsidRPr="000C5EAE" w:rsidRDefault="00923A16" w:rsidP="00354060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5EAE">
              <w:rPr>
                <w:rFonts w:ascii="Calibri" w:hAnsi="Calibri" w:cs="Calibri"/>
                <w:sz w:val="20"/>
                <w:szCs w:val="20"/>
              </w:rPr>
              <w:t xml:space="preserve">15) </w:t>
            </w:r>
            <w:r w:rsidR="00DC1F49" w:rsidRPr="000C5EAE">
              <w:rPr>
                <w:rFonts w:ascii="Calibri" w:hAnsi="Calibri" w:cs="Calibri"/>
                <w:sz w:val="20"/>
                <w:szCs w:val="20"/>
              </w:rPr>
              <w:t xml:space="preserve">V případě budování nových silničních a železničních koridorů, respektive obchvatů měst a obcí, zabránit jejich umisťování do chráněných a cenných území a do lokalit s výskytem chráněných druhů živočichů a rostlin, minimalizovat fragmentaci krajiny a zajistit její migrační prostupnost (například budováním </w:t>
            </w:r>
            <w:proofErr w:type="spellStart"/>
            <w:r w:rsidR="00DC1F49" w:rsidRPr="000C5EAE">
              <w:rPr>
                <w:rFonts w:ascii="Calibri" w:hAnsi="Calibri" w:cs="Calibri"/>
                <w:sz w:val="20"/>
                <w:szCs w:val="20"/>
              </w:rPr>
              <w:t>ekoduktů</w:t>
            </w:r>
            <w:proofErr w:type="spellEnd"/>
            <w:r w:rsidR="00DC1F49" w:rsidRPr="000C5EAE">
              <w:rPr>
                <w:rFonts w:ascii="Calibri" w:hAnsi="Calibri" w:cs="Calibri"/>
                <w:sz w:val="20"/>
                <w:szCs w:val="20"/>
              </w:rPr>
              <w:t>).</w:t>
            </w:r>
          </w:p>
        </w:tc>
        <w:tc>
          <w:tcPr>
            <w:tcW w:w="4114" w:type="dxa"/>
          </w:tcPr>
          <w:p w14:paraId="6B8AD5AE" w14:textId="77777777" w:rsidR="004F1A4F" w:rsidRPr="00D62D46" w:rsidRDefault="00506E25" w:rsidP="00D81C4C">
            <w:pPr>
              <w:pStyle w:val="Bezmezer"/>
              <w:jc w:val="both"/>
              <w:rPr>
                <w:sz w:val="20"/>
                <w:highlight w:val="yellow"/>
              </w:rPr>
            </w:pPr>
            <w:r w:rsidRPr="00561748">
              <w:rPr>
                <w:b/>
                <w:sz w:val="20"/>
              </w:rPr>
              <w:t>Akceptováno.</w:t>
            </w:r>
            <w:r w:rsidR="0028409C" w:rsidRPr="00561748">
              <w:rPr>
                <w:b/>
                <w:sz w:val="20"/>
              </w:rPr>
              <w:t xml:space="preserve"> </w:t>
            </w:r>
            <w:r w:rsidR="00226201" w:rsidRPr="00561748">
              <w:rPr>
                <w:sz w:val="20"/>
              </w:rPr>
              <w:t>Výběr projektů bude podléhat environmentálním kritériím pro výběr projektů, na jejichž základě budou následně schvalovány či doporučeny k realizaci pouze ty projekty, které nebudou mít významný negativní vliv na životní prostředí. Př</w:t>
            </w:r>
            <w:r w:rsidR="00561748" w:rsidRPr="00561748">
              <w:rPr>
                <w:sz w:val="20"/>
              </w:rPr>
              <w:t>i realizaci nových silničních a </w:t>
            </w:r>
            <w:r w:rsidR="00226201" w:rsidRPr="00561748">
              <w:rPr>
                <w:sz w:val="20"/>
              </w:rPr>
              <w:t>železničních koridorů bude jejich umístění podmíněno rozhodnutím, resp. podmínkami příslušných orgánů ochrany přírody.</w:t>
            </w:r>
            <w:r w:rsidR="00E22FC2">
              <w:rPr>
                <w:sz w:val="20"/>
              </w:rPr>
              <w:t xml:space="preserve"> Zohledněno v rámci Strategického</w:t>
            </w:r>
            <w:r w:rsidR="00E22FC2" w:rsidRPr="00A61B34">
              <w:rPr>
                <w:sz w:val="20"/>
              </w:rPr>
              <w:t xml:space="preserve"> cíl</w:t>
            </w:r>
            <w:r w:rsidR="00E22FC2">
              <w:rPr>
                <w:sz w:val="20"/>
              </w:rPr>
              <w:t>e</w:t>
            </w:r>
            <w:r w:rsidR="00E22FC2" w:rsidRPr="00A61B34">
              <w:rPr>
                <w:sz w:val="20"/>
              </w:rPr>
              <w:t xml:space="preserve"> 6.1: Ochrana životního prostředí</w:t>
            </w:r>
            <w:r w:rsidR="00E22FC2">
              <w:rPr>
                <w:sz w:val="20"/>
              </w:rPr>
              <w:t xml:space="preserve"> (6.1.10).</w:t>
            </w:r>
          </w:p>
        </w:tc>
      </w:tr>
      <w:tr w:rsidR="00091403" w:rsidRPr="00D62D46" w14:paraId="5DF0812A" w14:textId="77777777" w:rsidTr="00A61B34">
        <w:tc>
          <w:tcPr>
            <w:tcW w:w="5070" w:type="dxa"/>
          </w:tcPr>
          <w:p w14:paraId="1C26FD81" w14:textId="77777777" w:rsidR="004F1A4F" w:rsidRPr="000C5EAE" w:rsidRDefault="00923A16" w:rsidP="00354060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5EAE">
              <w:rPr>
                <w:rFonts w:ascii="Calibri" w:hAnsi="Calibri" w:cs="Calibri"/>
                <w:sz w:val="20"/>
                <w:szCs w:val="20"/>
              </w:rPr>
              <w:t xml:space="preserve">16) </w:t>
            </w:r>
            <w:r w:rsidR="00DC1F49" w:rsidRPr="000C5EAE">
              <w:rPr>
                <w:rFonts w:ascii="Calibri" w:hAnsi="Calibri" w:cs="Calibri"/>
                <w:sz w:val="20"/>
                <w:szCs w:val="20"/>
              </w:rPr>
              <w:t xml:space="preserve">Nové úseky </w:t>
            </w:r>
            <w:proofErr w:type="spellStart"/>
            <w:r w:rsidR="00DC1F49" w:rsidRPr="000C5EAE">
              <w:rPr>
                <w:rFonts w:ascii="Calibri" w:hAnsi="Calibri" w:cs="Calibri"/>
                <w:sz w:val="20"/>
                <w:szCs w:val="20"/>
              </w:rPr>
              <w:t>cyklokomunikací</w:t>
            </w:r>
            <w:proofErr w:type="spellEnd"/>
            <w:r w:rsidR="00DC1F49" w:rsidRPr="000C5EAE">
              <w:rPr>
                <w:rFonts w:ascii="Calibri" w:hAnsi="Calibri" w:cs="Calibri"/>
                <w:sz w:val="20"/>
                <w:szCs w:val="20"/>
              </w:rPr>
              <w:t xml:space="preserve"> směřovat přednostně na stávající komunikace, zároveň dbát na zachování migrační prostupnosti území a bezpečnost účastníků provozu. V rámci ZCHÚ konzultovat s příslušnými orgány ochrany přírody.</w:t>
            </w:r>
          </w:p>
        </w:tc>
        <w:tc>
          <w:tcPr>
            <w:tcW w:w="4114" w:type="dxa"/>
          </w:tcPr>
          <w:p w14:paraId="1ED7F576" w14:textId="77777777" w:rsidR="004F1A4F" w:rsidRPr="00D62D46" w:rsidRDefault="00612963" w:rsidP="00295C28">
            <w:pPr>
              <w:pStyle w:val="Bezmezer"/>
              <w:jc w:val="both"/>
              <w:rPr>
                <w:sz w:val="20"/>
                <w:highlight w:val="yellow"/>
              </w:rPr>
            </w:pPr>
            <w:r w:rsidRPr="00754BA6">
              <w:rPr>
                <w:b/>
                <w:sz w:val="20"/>
              </w:rPr>
              <w:t>Akceptováno.</w:t>
            </w:r>
            <w:r w:rsidRPr="00754BA6">
              <w:rPr>
                <w:sz w:val="20"/>
              </w:rPr>
              <w:t xml:space="preserve"> </w:t>
            </w:r>
            <w:r w:rsidR="00561748" w:rsidRPr="00754BA6">
              <w:rPr>
                <w:sz w:val="20"/>
              </w:rPr>
              <w:t xml:space="preserve">Při vymezování nových komunikací pro </w:t>
            </w:r>
            <w:proofErr w:type="spellStart"/>
            <w:r w:rsidR="00561748" w:rsidRPr="00754BA6">
              <w:rPr>
                <w:sz w:val="20"/>
              </w:rPr>
              <w:t>cyklodopravu</w:t>
            </w:r>
            <w:proofErr w:type="spellEnd"/>
            <w:r w:rsidR="00561748" w:rsidRPr="00754BA6">
              <w:rPr>
                <w:sz w:val="20"/>
              </w:rPr>
              <w:t xml:space="preserve"> budou přednostně využívány stávající komunikace při zachování</w:t>
            </w:r>
            <w:r w:rsidR="00F3171D" w:rsidRPr="00754BA6">
              <w:rPr>
                <w:sz w:val="20"/>
              </w:rPr>
              <w:t xml:space="preserve"> </w:t>
            </w:r>
            <w:r w:rsidR="00561748" w:rsidRPr="00754BA6">
              <w:rPr>
                <w:sz w:val="20"/>
              </w:rPr>
              <w:t xml:space="preserve">podmínek bezpečnosti cyklistické dopravy. </w:t>
            </w:r>
          </w:p>
        </w:tc>
      </w:tr>
      <w:tr w:rsidR="00091403" w:rsidRPr="00D62D46" w14:paraId="1BA89D19" w14:textId="77777777" w:rsidTr="00A61B34">
        <w:tc>
          <w:tcPr>
            <w:tcW w:w="5070" w:type="dxa"/>
          </w:tcPr>
          <w:p w14:paraId="6E98052B" w14:textId="77777777" w:rsidR="004F1A4F" w:rsidRPr="000C5EAE" w:rsidRDefault="00923A16" w:rsidP="00354060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5EAE">
              <w:rPr>
                <w:rFonts w:ascii="Calibri" w:hAnsi="Calibri" w:cs="Calibri"/>
                <w:sz w:val="20"/>
                <w:szCs w:val="20"/>
              </w:rPr>
              <w:t xml:space="preserve">17) </w:t>
            </w:r>
            <w:r w:rsidR="00DC1F49" w:rsidRPr="000C5EAE">
              <w:rPr>
                <w:rFonts w:ascii="Calibri" w:hAnsi="Calibri" w:cs="Calibri"/>
                <w:sz w:val="20"/>
                <w:szCs w:val="20"/>
              </w:rPr>
              <w:t>U vozidel v lodní dopravě podporovat prostředky s co nejnižšími emisemi znečišťujících látek (např. elektropohon).</w:t>
            </w:r>
          </w:p>
        </w:tc>
        <w:tc>
          <w:tcPr>
            <w:tcW w:w="4114" w:type="dxa"/>
          </w:tcPr>
          <w:p w14:paraId="590B2573" w14:textId="77777777" w:rsidR="004F1A4F" w:rsidRPr="00D62D46" w:rsidRDefault="00923A16" w:rsidP="00295C28">
            <w:pPr>
              <w:pStyle w:val="Bezmezer"/>
              <w:jc w:val="both"/>
              <w:rPr>
                <w:sz w:val="20"/>
                <w:highlight w:val="yellow"/>
              </w:rPr>
            </w:pPr>
            <w:r w:rsidRPr="008F2B71">
              <w:rPr>
                <w:b/>
                <w:sz w:val="20"/>
              </w:rPr>
              <w:t>Akceptováno.</w:t>
            </w:r>
            <w:r w:rsidRPr="008F2B71">
              <w:rPr>
                <w:sz w:val="20"/>
              </w:rPr>
              <w:t xml:space="preserve"> </w:t>
            </w:r>
            <w:r w:rsidR="00271E9A" w:rsidRPr="008F2B71">
              <w:rPr>
                <w:sz w:val="20"/>
              </w:rPr>
              <w:t>Budou vybrány takové formy dopravních prostředků, které budou vykazovat co</w:t>
            </w:r>
            <w:r w:rsidR="00271E9A" w:rsidRPr="00A841CC">
              <w:rPr>
                <w:sz w:val="20"/>
              </w:rPr>
              <w:t xml:space="preserve"> nejnižší emise znečišťujících látek.</w:t>
            </w:r>
          </w:p>
        </w:tc>
      </w:tr>
      <w:tr w:rsidR="00091403" w:rsidRPr="00D62D46" w14:paraId="434B4984" w14:textId="77777777" w:rsidTr="00A61B34">
        <w:trPr>
          <w:trHeight w:val="1986"/>
        </w:trPr>
        <w:tc>
          <w:tcPr>
            <w:tcW w:w="5070" w:type="dxa"/>
          </w:tcPr>
          <w:p w14:paraId="2E9F8646" w14:textId="77777777" w:rsidR="004F1A4F" w:rsidRPr="000C5EAE" w:rsidRDefault="00513CF3" w:rsidP="006B020D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5EAE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18) </w:t>
            </w:r>
            <w:r w:rsidR="00DC1F49" w:rsidRPr="000C5EAE">
              <w:rPr>
                <w:rFonts w:ascii="Calibri" w:hAnsi="Calibri" w:cs="Calibri"/>
                <w:sz w:val="20"/>
                <w:szCs w:val="20"/>
              </w:rPr>
              <w:t xml:space="preserve">Pro nové zdroje OZE využívat tam, kde je to možné, plochy </w:t>
            </w:r>
            <w:proofErr w:type="spellStart"/>
            <w:r w:rsidR="00DC1F49" w:rsidRPr="000C5EAE">
              <w:rPr>
                <w:rFonts w:ascii="Calibri" w:hAnsi="Calibri" w:cs="Calibri"/>
                <w:sz w:val="20"/>
                <w:szCs w:val="20"/>
              </w:rPr>
              <w:t>brownfields</w:t>
            </w:r>
            <w:proofErr w:type="spellEnd"/>
            <w:r w:rsidR="00DC1F49" w:rsidRPr="000C5EAE">
              <w:rPr>
                <w:rFonts w:ascii="Calibri" w:hAnsi="Calibri" w:cs="Calibri"/>
                <w:sz w:val="20"/>
                <w:szCs w:val="20"/>
              </w:rPr>
              <w:t>. Nové zdroje OZE umisťovat mimo ZCHÚ, EVL, PO a jejich ochranná pásma a respektovat požadavky orgánů ochrany přírody.</w:t>
            </w:r>
          </w:p>
        </w:tc>
        <w:tc>
          <w:tcPr>
            <w:tcW w:w="4114" w:type="dxa"/>
          </w:tcPr>
          <w:p w14:paraId="38EEFC21" w14:textId="77777777" w:rsidR="004F1A4F" w:rsidRPr="00C26B99" w:rsidRDefault="00B53C12" w:rsidP="008F2B71">
            <w:pPr>
              <w:pStyle w:val="Bezmezer"/>
              <w:jc w:val="both"/>
              <w:rPr>
                <w:sz w:val="20"/>
              </w:rPr>
            </w:pPr>
            <w:r w:rsidRPr="00C26B99">
              <w:rPr>
                <w:b/>
                <w:sz w:val="20"/>
              </w:rPr>
              <w:t>Akceptováno.</w:t>
            </w:r>
            <w:r w:rsidRPr="00C26B99">
              <w:rPr>
                <w:sz w:val="20"/>
              </w:rPr>
              <w:t xml:space="preserve"> </w:t>
            </w:r>
            <w:r w:rsidR="008F2B71" w:rsidRPr="00C26B99">
              <w:rPr>
                <w:sz w:val="20"/>
              </w:rPr>
              <w:t>Pro zdroje OZE budou preferenčně využívány plochy brownfield. Konkrétní projekty či aktivity, které by vyvolávaly potenciální negativní dopady, budou podléhat rozhodnutí orgánů ochrany přírody a budou s nimi předem projednány.</w:t>
            </w:r>
            <w:r w:rsidR="00295C28">
              <w:rPr>
                <w:sz w:val="20"/>
              </w:rPr>
              <w:t xml:space="preserve"> Reflektováno v rámci opatření 1.4.12.</w:t>
            </w:r>
          </w:p>
        </w:tc>
      </w:tr>
      <w:tr w:rsidR="00091403" w:rsidRPr="00D62D46" w14:paraId="610FBC03" w14:textId="77777777" w:rsidTr="00A61B34">
        <w:tc>
          <w:tcPr>
            <w:tcW w:w="5070" w:type="dxa"/>
          </w:tcPr>
          <w:p w14:paraId="3A502A64" w14:textId="77777777" w:rsidR="004F1A4F" w:rsidRPr="000C5EAE" w:rsidRDefault="00C94A76" w:rsidP="00354060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5EAE">
              <w:rPr>
                <w:rFonts w:ascii="Calibri" w:hAnsi="Calibri" w:cs="Calibri"/>
                <w:sz w:val="20"/>
                <w:szCs w:val="20"/>
              </w:rPr>
              <w:t xml:space="preserve">19) </w:t>
            </w:r>
            <w:r w:rsidR="00F412ED" w:rsidRPr="000C5EAE">
              <w:rPr>
                <w:rFonts w:ascii="Calibri" w:hAnsi="Calibri" w:cs="Calibri"/>
                <w:sz w:val="20"/>
                <w:szCs w:val="20"/>
              </w:rPr>
              <w:t xml:space="preserve">V případě sanování starých ekologických zátěží v rámci využití ploch </w:t>
            </w:r>
            <w:proofErr w:type="spellStart"/>
            <w:r w:rsidR="00F412ED" w:rsidRPr="000C5EAE">
              <w:rPr>
                <w:rFonts w:ascii="Calibri" w:hAnsi="Calibri" w:cs="Calibri"/>
                <w:sz w:val="20"/>
                <w:szCs w:val="20"/>
              </w:rPr>
              <w:t>brownfields</w:t>
            </w:r>
            <w:proofErr w:type="spellEnd"/>
            <w:r w:rsidR="00F412ED" w:rsidRPr="000C5EAE">
              <w:rPr>
                <w:rFonts w:ascii="Calibri" w:hAnsi="Calibri" w:cs="Calibri"/>
                <w:sz w:val="20"/>
                <w:szCs w:val="20"/>
              </w:rPr>
              <w:t xml:space="preserve"> postupovat striktně podle projektu sanačních prací a dbát pokynů ČIŽP.</w:t>
            </w:r>
          </w:p>
        </w:tc>
        <w:tc>
          <w:tcPr>
            <w:tcW w:w="4114" w:type="dxa"/>
          </w:tcPr>
          <w:p w14:paraId="30770536" w14:textId="77777777" w:rsidR="004F1A4F" w:rsidRPr="00C26B99" w:rsidRDefault="00B53C12" w:rsidP="00295C28">
            <w:pPr>
              <w:pStyle w:val="Bezmezer"/>
              <w:jc w:val="both"/>
              <w:rPr>
                <w:sz w:val="20"/>
              </w:rPr>
            </w:pPr>
            <w:r w:rsidRPr="00C26B99">
              <w:rPr>
                <w:b/>
                <w:sz w:val="20"/>
              </w:rPr>
              <w:t xml:space="preserve">Akceptováno. </w:t>
            </w:r>
            <w:r w:rsidR="00C26B99" w:rsidRPr="00C26B99">
              <w:rPr>
                <w:sz w:val="20"/>
              </w:rPr>
              <w:t>V případě sanování starých ekologických zátěží bude postupováno v souladu se zákonem (dle schválených projektů sanace a pokynů ČIŽP).</w:t>
            </w:r>
          </w:p>
        </w:tc>
      </w:tr>
      <w:tr w:rsidR="00091403" w:rsidRPr="00D62D46" w14:paraId="32337E73" w14:textId="77777777" w:rsidTr="00A61B34">
        <w:tc>
          <w:tcPr>
            <w:tcW w:w="5070" w:type="dxa"/>
          </w:tcPr>
          <w:p w14:paraId="33AC9F4D" w14:textId="77777777" w:rsidR="004F1A4F" w:rsidRPr="000C5EAE" w:rsidRDefault="00797EE3" w:rsidP="00354060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5EAE">
              <w:rPr>
                <w:rFonts w:ascii="Calibri" w:hAnsi="Calibri" w:cs="Calibri"/>
                <w:sz w:val="20"/>
                <w:szCs w:val="20"/>
              </w:rPr>
              <w:t xml:space="preserve">20) </w:t>
            </w:r>
            <w:r w:rsidR="00F412ED" w:rsidRPr="000C5EAE">
              <w:rPr>
                <w:rFonts w:ascii="Calibri" w:hAnsi="Calibri" w:cs="Calibri"/>
                <w:sz w:val="20"/>
                <w:szCs w:val="20"/>
              </w:rPr>
              <w:t>Předcházet vzniku odpadů a uplatňovat principy cirkulární ekonomiky (oběhového hospodářství). V rámci hierarchie nakládání s odpady kategorie jiné využití odpadů předn</w:t>
            </w:r>
            <w:r w:rsidR="00FE4C58">
              <w:rPr>
                <w:rFonts w:ascii="Calibri" w:hAnsi="Calibri" w:cs="Calibri"/>
                <w:sz w:val="20"/>
                <w:szCs w:val="20"/>
              </w:rPr>
              <w:t>ostně podporovat kompostování a </w:t>
            </w:r>
            <w:r w:rsidR="00F412ED" w:rsidRPr="000C5EAE">
              <w:rPr>
                <w:rFonts w:ascii="Calibri" w:hAnsi="Calibri" w:cs="Calibri"/>
                <w:sz w:val="20"/>
                <w:szCs w:val="20"/>
              </w:rPr>
              <w:t>anaerobní rozklad u těch, u kterých je to z hlediska především environmentálních a zdravotních rizik je možné.</w:t>
            </w:r>
          </w:p>
        </w:tc>
        <w:tc>
          <w:tcPr>
            <w:tcW w:w="4114" w:type="dxa"/>
          </w:tcPr>
          <w:p w14:paraId="00680925" w14:textId="77777777" w:rsidR="004F1A4F" w:rsidRPr="00D62D46" w:rsidRDefault="00E31A9F" w:rsidP="00053375">
            <w:pPr>
              <w:pStyle w:val="Bezmezer"/>
              <w:jc w:val="both"/>
              <w:rPr>
                <w:sz w:val="20"/>
                <w:highlight w:val="yellow"/>
              </w:rPr>
            </w:pPr>
            <w:r w:rsidRPr="00D47D27">
              <w:rPr>
                <w:b/>
                <w:sz w:val="20"/>
              </w:rPr>
              <w:t>Akceptováno.</w:t>
            </w:r>
            <w:r w:rsidRPr="00D47D27">
              <w:rPr>
                <w:sz w:val="20"/>
              </w:rPr>
              <w:t xml:space="preserve"> </w:t>
            </w:r>
            <w:r w:rsidR="00FE4C58" w:rsidRPr="00D47D27">
              <w:rPr>
                <w:sz w:val="20"/>
              </w:rPr>
              <w:t xml:space="preserve">Koncepce respektuje systém hierarchie nakládání s odpady a uplatňuje principy cirkulární ekonomiky a předcházení vzniku odpadů (zejména </w:t>
            </w:r>
            <w:r w:rsidR="00053375" w:rsidRPr="00D47D27">
              <w:rPr>
                <w:sz w:val="20"/>
              </w:rPr>
              <w:t xml:space="preserve">strategický cíl </w:t>
            </w:r>
            <w:r w:rsidR="00D47D27" w:rsidRPr="00D47D27">
              <w:rPr>
                <w:sz w:val="20"/>
              </w:rPr>
              <w:t>6.2</w:t>
            </w:r>
            <w:r w:rsidR="00FE4C58" w:rsidRPr="00D47D27">
              <w:rPr>
                <w:sz w:val="20"/>
              </w:rPr>
              <w:t>).</w:t>
            </w:r>
          </w:p>
        </w:tc>
      </w:tr>
      <w:tr w:rsidR="00091403" w:rsidRPr="00D62D46" w14:paraId="60546F8E" w14:textId="77777777" w:rsidTr="00A61B34">
        <w:tc>
          <w:tcPr>
            <w:tcW w:w="5070" w:type="dxa"/>
          </w:tcPr>
          <w:p w14:paraId="7C86C97B" w14:textId="77777777" w:rsidR="004F1A4F" w:rsidRPr="000C5EAE" w:rsidRDefault="00406AC7" w:rsidP="00354060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5EAE">
              <w:rPr>
                <w:rFonts w:ascii="Calibri" w:hAnsi="Calibri" w:cs="Calibri"/>
                <w:sz w:val="20"/>
                <w:szCs w:val="20"/>
              </w:rPr>
              <w:t xml:space="preserve">21) </w:t>
            </w:r>
            <w:r w:rsidR="00674A01" w:rsidRPr="000C5EAE">
              <w:rPr>
                <w:rFonts w:ascii="Calibri" w:hAnsi="Calibri" w:cs="Calibri"/>
                <w:sz w:val="20"/>
                <w:szCs w:val="20"/>
              </w:rPr>
              <w:t>U zařízení na energetické, termické a materiálové využití odpadů respektovat krajinný ráz, podmínky ochrany přírody a krajiny a dodržovat platné emisní limity pro takováto zařízení. Respektovat hierarchii způsobů nakládání s odpady.</w:t>
            </w:r>
          </w:p>
        </w:tc>
        <w:tc>
          <w:tcPr>
            <w:tcW w:w="4114" w:type="dxa"/>
          </w:tcPr>
          <w:p w14:paraId="59EC7BC1" w14:textId="77777777" w:rsidR="004F1A4F" w:rsidRPr="00D62D46" w:rsidRDefault="00612963" w:rsidP="00295C28">
            <w:pPr>
              <w:pStyle w:val="Bezmezer"/>
              <w:jc w:val="both"/>
              <w:rPr>
                <w:sz w:val="20"/>
                <w:highlight w:val="yellow"/>
              </w:rPr>
            </w:pPr>
            <w:r w:rsidRPr="0086416B">
              <w:rPr>
                <w:b/>
                <w:sz w:val="20"/>
              </w:rPr>
              <w:t>Akceptováno.</w:t>
            </w:r>
            <w:r w:rsidRPr="0086416B">
              <w:rPr>
                <w:sz w:val="20"/>
              </w:rPr>
              <w:t xml:space="preserve"> </w:t>
            </w:r>
            <w:r w:rsidR="004F5A98" w:rsidRPr="0086416B">
              <w:rPr>
                <w:sz w:val="20"/>
              </w:rPr>
              <w:t xml:space="preserve">Koncepce respektuje systém hierarchie nakládání s odpady a uplatňuje principy cirkulární ekonomiky a předcházení vzniku odpadů (zejména strategický cíl 6.2). </w:t>
            </w:r>
          </w:p>
        </w:tc>
      </w:tr>
      <w:tr w:rsidR="00091403" w:rsidRPr="00D62D46" w14:paraId="1AD795C5" w14:textId="77777777" w:rsidTr="00A61B34">
        <w:tc>
          <w:tcPr>
            <w:tcW w:w="5070" w:type="dxa"/>
          </w:tcPr>
          <w:p w14:paraId="22488FA0" w14:textId="77777777" w:rsidR="004F1A4F" w:rsidRPr="000C5EAE" w:rsidRDefault="00406AC7" w:rsidP="00354060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5EAE">
              <w:rPr>
                <w:rFonts w:ascii="Calibri" w:hAnsi="Calibri" w:cs="Calibri"/>
                <w:sz w:val="20"/>
                <w:szCs w:val="20"/>
              </w:rPr>
              <w:t xml:space="preserve">22) </w:t>
            </w:r>
            <w:r w:rsidR="00A954CD" w:rsidRPr="000C5EAE">
              <w:rPr>
                <w:rFonts w:ascii="Calibri" w:hAnsi="Calibri" w:cs="Calibri"/>
                <w:sz w:val="20"/>
                <w:szCs w:val="20"/>
              </w:rPr>
              <w:t>V případě výstavby nových budov aplikovat prvky cirkulárního stavitelství, tedy principu, kdy se budova stává materiálovou bankou pro další využití po skončení jejího účelu, nebo životnosti.</w:t>
            </w:r>
          </w:p>
        </w:tc>
        <w:tc>
          <w:tcPr>
            <w:tcW w:w="4114" w:type="dxa"/>
          </w:tcPr>
          <w:p w14:paraId="54BABC53" w14:textId="77777777" w:rsidR="004F1A4F" w:rsidRPr="00D62D46" w:rsidRDefault="00612963" w:rsidP="0077326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7326B">
              <w:rPr>
                <w:rFonts w:asciiTheme="minorHAnsi" w:hAnsiTheme="minorHAnsi" w:cstheme="minorHAnsi"/>
                <w:b/>
                <w:sz w:val="20"/>
              </w:rPr>
              <w:t>Akceptováno.</w:t>
            </w:r>
            <w:r w:rsidRPr="0077326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10D10" w:rsidRPr="0077326B">
              <w:rPr>
                <w:rFonts w:asciiTheme="minorHAnsi" w:hAnsiTheme="minorHAnsi" w:cstheme="minorHAnsi"/>
                <w:sz w:val="20"/>
              </w:rPr>
              <w:t xml:space="preserve">Koncepce uplatňuje principy </w:t>
            </w:r>
            <w:r w:rsidR="00910D10" w:rsidRPr="00295C28">
              <w:rPr>
                <w:rFonts w:asciiTheme="minorHAnsi" w:hAnsiTheme="minorHAnsi" w:cstheme="minorHAnsi"/>
                <w:sz w:val="20"/>
              </w:rPr>
              <w:t>cirkulární ekonomiky a podporuje následný systém hierarchie nakládání s</w:t>
            </w:r>
            <w:r w:rsidR="0077326B" w:rsidRPr="00295C28">
              <w:rPr>
                <w:rFonts w:asciiTheme="minorHAnsi" w:hAnsiTheme="minorHAnsi" w:cstheme="minorHAnsi"/>
                <w:sz w:val="20"/>
              </w:rPr>
              <w:t> </w:t>
            </w:r>
            <w:r w:rsidR="00910D10" w:rsidRPr="00295C28">
              <w:rPr>
                <w:rFonts w:asciiTheme="minorHAnsi" w:hAnsiTheme="minorHAnsi" w:cstheme="minorHAnsi"/>
                <w:sz w:val="20"/>
              </w:rPr>
              <w:t>odpady</w:t>
            </w:r>
            <w:r w:rsidR="0077326B" w:rsidRPr="00295C2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10D10" w:rsidRPr="00295C28">
              <w:rPr>
                <w:rFonts w:asciiTheme="minorHAnsi" w:hAnsiTheme="minorHAnsi" w:cstheme="minorHAnsi"/>
                <w:sz w:val="20"/>
              </w:rPr>
              <w:t xml:space="preserve">(např. </w:t>
            </w:r>
            <w:r w:rsidR="0077326B" w:rsidRPr="00295C28">
              <w:rPr>
                <w:rFonts w:asciiTheme="minorHAnsi" w:hAnsiTheme="minorHAnsi" w:cstheme="minorHAnsi"/>
                <w:sz w:val="20"/>
              </w:rPr>
              <w:t>strategický cíl 6.2</w:t>
            </w:r>
            <w:r w:rsidR="00910D10" w:rsidRPr="00295C28">
              <w:rPr>
                <w:rFonts w:asciiTheme="minorHAnsi" w:hAnsiTheme="minorHAnsi" w:cstheme="minorHAnsi"/>
                <w:sz w:val="20"/>
              </w:rPr>
              <w:t>).</w:t>
            </w:r>
          </w:p>
        </w:tc>
      </w:tr>
      <w:tr w:rsidR="006B020D" w:rsidRPr="00D62D46" w14:paraId="4806A8F4" w14:textId="77777777" w:rsidTr="00A61B34">
        <w:tc>
          <w:tcPr>
            <w:tcW w:w="5070" w:type="dxa"/>
          </w:tcPr>
          <w:p w14:paraId="5B996355" w14:textId="77777777" w:rsidR="006B020D" w:rsidRPr="000C5EAE" w:rsidRDefault="00670F34" w:rsidP="00195252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5EAE">
              <w:rPr>
                <w:rFonts w:ascii="Calibri" w:hAnsi="Calibri" w:cs="Calibri"/>
                <w:sz w:val="20"/>
                <w:szCs w:val="20"/>
              </w:rPr>
              <w:t xml:space="preserve">23) </w:t>
            </w:r>
            <w:r w:rsidR="00A954CD" w:rsidRPr="000C5EAE">
              <w:rPr>
                <w:rFonts w:ascii="Calibri" w:hAnsi="Calibri" w:cs="Calibri"/>
                <w:sz w:val="20"/>
                <w:szCs w:val="20"/>
              </w:rPr>
              <w:t>Při pořádání kulturních akcí respektovat podmínky ochrany přírody. Kulturní akce pořádat v environmentálně šetrném duchu (například omezit produkci odpadů) a uplatňovat principy oběhového hospodářství.</w:t>
            </w:r>
          </w:p>
        </w:tc>
        <w:tc>
          <w:tcPr>
            <w:tcW w:w="4114" w:type="dxa"/>
          </w:tcPr>
          <w:p w14:paraId="268499A2" w14:textId="77777777" w:rsidR="006B020D" w:rsidRPr="00D62D46" w:rsidRDefault="006B62EB" w:rsidP="00295C28">
            <w:pPr>
              <w:pStyle w:val="Bezmezer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 w:rsidRPr="00783641">
              <w:rPr>
                <w:b/>
                <w:sz w:val="20"/>
              </w:rPr>
              <w:t>Akceptováno.</w:t>
            </w:r>
            <w:r w:rsidRPr="00783641">
              <w:rPr>
                <w:sz w:val="20"/>
              </w:rPr>
              <w:t xml:space="preserve"> </w:t>
            </w:r>
            <w:r w:rsidR="0010183A" w:rsidRPr="00783641">
              <w:rPr>
                <w:sz w:val="20"/>
              </w:rPr>
              <w:t>Koncepce se zabývá rozvojem a zachováním stávající sítě chráněných území, podporou šetrných forem cestovního ruchu a podporou EVVO, která může</w:t>
            </w:r>
            <w:r w:rsidR="0010183A" w:rsidRPr="00C04461">
              <w:rPr>
                <w:sz w:val="20"/>
              </w:rPr>
              <w:t xml:space="preserve"> napomoct environmentálně šetrnému chování, včetně osvěty při </w:t>
            </w:r>
            <w:r w:rsidR="00756C12" w:rsidRPr="00C04461">
              <w:rPr>
                <w:sz w:val="20"/>
              </w:rPr>
              <w:t>kulturních</w:t>
            </w:r>
            <w:r w:rsidR="0010183A" w:rsidRPr="00C04461">
              <w:rPr>
                <w:sz w:val="20"/>
              </w:rPr>
              <w:t xml:space="preserve"> akcí, </w:t>
            </w:r>
            <w:r w:rsidR="0010183A" w:rsidRPr="0082038B">
              <w:rPr>
                <w:sz w:val="20"/>
              </w:rPr>
              <w:t xml:space="preserve">a dále také prevencí vzniku odpadů (např. </w:t>
            </w:r>
            <w:r w:rsidR="00C87780" w:rsidRPr="0082038B">
              <w:rPr>
                <w:sz w:val="20"/>
              </w:rPr>
              <w:t>strategické cíle 6.1</w:t>
            </w:r>
            <w:r w:rsidR="00783641" w:rsidRPr="0082038B">
              <w:rPr>
                <w:sz w:val="20"/>
              </w:rPr>
              <w:t>, 6.2</w:t>
            </w:r>
            <w:r w:rsidR="0082038B" w:rsidRPr="0082038B">
              <w:rPr>
                <w:sz w:val="20"/>
              </w:rPr>
              <w:t>, 7.2</w:t>
            </w:r>
            <w:r w:rsidR="0010183A" w:rsidRPr="0082038B">
              <w:rPr>
                <w:sz w:val="20"/>
              </w:rPr>
              <w:t xml:space="preserve">). Podmínky ochrany přírody budou při pořádání </w:t>
            </w:r>
            <w:r w:rsidR="00B26766" w:rsidRPr="0082038B">
              <w:rPr>
                <w:sz w:val="20"/>
              </w:rPr>
              <w:t>kulturních</w:t>
            </w:r>
            <w:r w:rsidR="0010183A">
              <w:rPr>
                <w:sz w:val="20"/>
              </w:rPr>
              <w:t xml:space="preserve"> akcí respektovány a tyto akce budou přednostně směřovány mimo ZCHÚ, lokality </w:t>
            </w:r>
            <w:proofErr w:type="spellStart"/>
            <w:r w:rsidR="0010183A">
              <w:rPr>
                <w:sz w:val="20"/>
              </w:rPr>
              <w:t>Natury</w:t>
            </w:r>
            <w:proofErr w:type="spellEnd"/>
            <w:r w:rsidR="0010183A">
              <w:rPr>
                <w:sz w:val="20"/>
              </w:rPr>
              <w:t xml:space="preserve"> 2000 nebo jiná cenná území. </w:t>
            </w:r>
          </w:p>
        </w:tc>
      </w:tr>
      <w:tr w:rsidR="006B020D" w:rsidRPr="00D62D46" w14:paraId="5876CD96" w14:textId="77777777" w:rsidTr="00A61B34">
        <w:tc>
          <w:tcPr>
            <w:tcW w:w="5070" w:type="dxa"/>
          </w:tcPr>
          <w:p w14:paraId="428C6EF5" w14:textId="77777777" w:rsidR="006B020D" w:rsidRPr="000C5EAE" w:rsidRDefault="00670F34" w:rsidP="00195252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0C5EAE">
              <w:rPr>
                <w:rFonts w:ascii="Calibri" w:hAnsi="Calibri" w:cs="Calibri"/>
                <w:sz w:val="20"/>
                <w:szCs w:val="20"/>
              </w:rPr>
              <w:t xml:space="preserve">24) </w:t>
            </w:r>
            <w:r w:rsidR="00A954CD" w:rsidRPr="000C5EAE">
              <w:rPr>
                <w:rFonts w:ascii="Calibri" w:hAnsi="Calibri" w:cs="Calibri"/>
                <w:sz w:val="20"/>
                <w:szCs w:val="20"/>
              </w:rPr>
              <w:t xml:space="preserve">Novou výstavbu přednostně směřovat na území </w:t>
            </w:r>
            <w:proofErr w:type="spellStart"/>
            <w:r w:rsidR="00A954CD" w:rsidRPr="000C5EAE">
              <w:rPr>
                <w:rFonts w:ascii="Calibri" w:hAnsi="Calibri" w:cs="Calibri"/>
                <w:sz w:val="20"/>
                <w:szCs w:val="20"/>
              </w:rPr>
              <w:t>brownfields</w:t>
            </w:r>
            <w:proofErr w:type="spellEnd"/>
            <w:r w:rsidR="00A954CD" w:rsidRPr="000C5EAE">
              <w:rPr>
                <w:rFonts w:ascii="Calibri" w:hAnsi="Calibri" w:cs="Calibri"/>
                <w:sz w:val="20"/>
                <w:szCs w:val="20"/>
              </w:rPr>
              <w:t>, půdy s nízkou kvalitou a s ohledem na ochranu krajinného rázu.</w:t>
            </w:r>
          </w:p>
        </w:tc>
        <w:tc>
          <w:tcPr>
            <w:tcW w:w="4114" w:type="dxa"/>
          </w:tcPr>
          <w:p w14:paraId="20899070" w14:textId="77777777" w:rsidR="006B020D" w:rsidRPr="00D62D46" w:rsidRDefault="00B53C12" w:rsidP="00295C28">
            <w:pPr>
              <w:pStyle w:val="Bezmezer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 w:rsidRPr="00D92AD1">
              <w:rPr>
                <w:b/>
                <w:sz w:val="20"/>
              </w:rPr>
              <w:t>Akceptováno.</w:t>
            </w:r>
            <w:r w:rsidRPr="00D92AD1">
              <w:rPr>
                <w:sz w:val="20"/>
              </w:rPr>
              <w:t xml:space="preserve"> </w:t>
            </w:r>
            <w:r w:rsidR="00D92AD1">
              <w:rPr>
                <w:sz w:val="20"/>
              </w:rPr>
              <w:t xml:space="preserve">V případě nových staveb bude upřednostněno jejich umístění na území </w:t>
            </w:r>
            <w:proofErr w:type="spellStart"/>
            <w:r w:rsidR="00D92AD1">
              <w:rPr>
                <w:sz w:val="20"/>
              </w:rPr>
              <w:t>brownfields</w:t>
            </w:r>
            <w:proofErr w:type="spellEnd"/>
            <w:r w:rsidR="00D92AD1">
              <w:rPr>
                <w:sz w:val="20"/>
              </w:rPr>
              <w:t xml:space="preserve"> a půdách s nízkou třídou kvality a bude dbáno na ochranu krajinného rázu.</w:t>
            </w:r>
          </w:p>
        </w:tc>
      </w:tr>
      <w:tr w:rsidR="00A954CD" w:rsidRPr="00D62D46" w14:paraId="5D47FC46" w14:textId="77777777" w:rsidTr="00A61B34">
        <w:tc>
          <w:tcPr>
            <w:tcW w:w="5070" w:type="dxa"/>
          </w:tcPr>
          <w:p w14:paraId="60B9D679" w14:textId="77777777" w:rsidR="00A954CD" w:rsidRPr="000C5EAE" w:rsidRDefault="00A954CD" w:rsidP="00A954CD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5EAE">
              <w:rPr>
                <w:rFonts w:ascii="Calibri" w:hAnsi="Calibri" w:cs="Calibri"/>
                <w:sz w:val="20"/>
                <w:szCs w:val="20"/>
              </w:rPr>
              <w:t>25) V průběhu revitalizace/regenerace území je nutno zajistit, že budou eliminovány nebo alespoň minimalizovány negativní dopady provádění prací na životní prostředí. Je potřeba zohlednit principy adaptace na klimatickou změnu a přizpůsobit jí regeneraci území.</w:t>
            </w:r>
          </w:p>
        </w:tc>
        <w:tc>
          <w:tcPr>
            <w:tcW w:w="4114" w:type="dxa"/>
          </w:tcPr>
          <w:p w14:paraId="5465B7C6" w14:textId="77777777" w:rsidR="00A954CD" w:rsidRPr="00D62D46" w:rsidRDefault="002F5BC3" w:rsidP="007545CB">
            <w:pPr>
              <w:pStyle w:val="Bezmezer"/>
              <w:jc w:val="both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Akceptováno.</w:t>
            </w:r>
            <w:r>
              <w:rPr>
                <w:sz w:val="20"/>
              </w:rPr>
              <w:t xml:space="preserve"> Při provádění prací budou eliminovány a minimalizovány negativní vlivy na životní prostředí. </w:t>
            </w:r>
            <w:r w:rsidR="00D514E9">
              <w:rPr>
                <w:sz w:val="20"/>
              </w:rPr>
              <w:t>Koncepce</w:t>
            </w:r>
            <w:r>
              <w:rPr>
                <w:sz w:val="20"/>
              </w:rPr>
              <w:t xml:space="preserve"> zohledňuje principy adaptace na klimatickou změnu (</w:t>
            </w:r>
            <w:r w:rsidR="007545CB" w:rsidRPr="00DB3AF5">
              <w:rPr>
                <w:sz w:val="20"/>
              </w:rPr>
              <w:t>např. strategické cíle 1.1, 2.2, 2.3, 2.4, 6.1, 6.2, 6.3</w:t>
            </w:r>
            <w:r>
              <w:rPr>
                <w:sz w:val="20"/>
              </w:rPr>
              <w:t>).</w:t>
            </w:r>
          </w:p>
        </w:tc>
      </w:tr>
      <w:tr w:rsidR="00A954CD" w:rsidRPr="00002057" w14:paraId="01AB5B49" w14:textId="77777777" w:rsidTr="00A61B34">
        <w:tc>
          <w:tcPr>
            <w:tcW w:w="5070" w:type="dxa"/>
          </w:tcPr>
          <w:p w14:paraId="2DA5DF00" w14:textId="77777777" w:rsidR="00A954CD" w:rsidRPr="00002057" w:rsidRDefault="000C5EAE" w:rsidP="00195252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02057">
              <w:rPr>
                <w:rFonts w:ascii="Calibri" w:hAnsi="Calibri" w:cs="Calibri"/>
                <w:sz w:val="20"/>
                <w:szCs w:val="20"/>
              </w:rPr>
              <w:t>26</w:t>
            </w:r>
            <w:r w:rsidR="00A954CD" w:rsidRPr="00002057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="00CC3D58" w:rsidRPr="00002057">
              <w:rPr>
                <w:rFonts w:ascii="Calibri" w:hAnsi="Calibri" w:cs="Calibri"/>
                <w:sz w:val="20"/>
                <w:szCs w:val="20"/>
              </w:rPr>
              <w:t xml:space="preserve">Rozvíjet environmentální vědomí obyvatel, zejména v těch oblastech, které nejsou bez zapojení veřejnosti </w:t>
            </w:r>
            <w:r w:rsidR="00340404">
              <w:rPr>
                <w:rFonts w:ascii="Calibri" w:hAnsi="Calibri" w:cs="Calibri"/>
                <w:sz w:val="20"/>
                <w:szCs w:val="20"/>
              </w:rPr>
              <w:t>řešitelné (znečištění ovzduší z </w:t>
            </w:r>
            <w:r w:rsidR="00CC3D58" w:rsidRPr="00002057">
              <w:rPr>
                <w:rFonts w:ascii="Calibri" w:hAnsi="Calibri" w:cs="Calibri"/>
                <w:sz w:val="20"/>
                <w:szCs w:val="20"/>
              </w:rPr>
              <w:t>malých zdrojů, omezování vlivů dopravy na životní prostředí, nakládání s odpady, adaptace na změnu klimatu, ochrana přírody a další).</w:t>
            </w:r>
          </w:p>
        </w:tc>
        <w:tc>
          <w:tcPr>
            <w:tcW w:w="4114" w:type="dxa"/>
          </w:tcPr>
          <w:p w14:paraId="4F68C71C" w14:textId="77777777" w:rsidR="00A954CD" w:rsidRPr="00002057" w:rsidRDefault="00017A7F" w:rsidP="00D514E9">
            <w:pPr>
              <w:pStyle w:val="Bezmezer"/>
              <w:jc w:val="both"/>
              <w:rPr>
                <w:b/>
                <w:sz w:val="20"/>
              </w:rPr>
            </w:pPr>
            <w:r w:rsidRPr="001956D7">
              <w:rPr>
                <w:b/>
                <w:sz w:val="20"/>
              </w:rPr>
              <w:t>Akceptováno.</w:t>
            </w:r>
            <w:r w:rsidRPr="001956D7">
              <w:rPr>
                <w:sz w:val="20"/>
              </w:rPr>
              <w:t xml:space="preserve"> </w:t>
            </w:r>
            <w:r w:rsidR="00D514E9">
              <w:rPr>
                <w:sz w:val="20"/>
              </w:rPr>
              <w:t>Koncepce</w:t>
            </w:r>
            <w:r w:rsidRPr="001956D7">
              <w:rPr>
                <w:sz w:val="20"/>
              </w:rPr>
              <w:t xml:space="preserve"> se zabývá </w:t>
            </w:r>
            <w:r w:rsidRPr="00D81C4C">
              <w:rPr>
                <w:sz w:val="20"/>
              </w:rPr>
              <w:t xml:space="preserve">rozvojem environmentálního vzdělávání, výchovy a osvěty v kraji (zejména </w:t>
            </w:r>
            <w:r w:rsidR="00E60563">
              <w:rPr>
                <w:sz w:val="20"/>
              </w:rPr>
              <w:t>strategické cíle 1.3, 2.2</w:t>
            </w:r>
            <w:r w:rsidR="00BA0EE7">
              <w:rPr>
                <w:sz w:val="20"/>
              </w:rPr>
              <w:t>, 6.1</w:t>
            </w:r>
            <w:r w:rsidR="003E5032">
              <w:rPr>
                <w:sz w:val="20"/>
              </w:rPr>
              <w:t>, 6.2</w:t>
            </w:r>
            <w:r w:rsidRPr="00D81C4C">
              <w:rPr>
                <w:sz w:val="20"/>
              </w:rPr>
              <w:t>).</w:t>
            </w:r>
          </w:p>
        </w:tc>
      </w:tr>
      <w:tr w:rsidR="004F1A4F" w:rsidRPr="00D62D46" w14:paraId="2C83A900" w14:textId="77777777" w:rsidTr="006B020D">
        <w:tc>
          <w:tcPr>
            <w:tcW w:w="9184" w:type="dxa"/>
            <w:gridSpan w:val="2"/>
          </w:tcPr>
          <w:p w14:paraId="25D9B864" w14:textId="77777777" w:rsidR="004F1A4F" w:rsidRPr="00002057" w:rsidRDefault="00717978" w:rsidP="00002057">
            <w:pPr>
              <w:pStyle w:val="Bezmezer"/>
              <w:jc w:val="both"/>
              <w:rPr>
                <w:b/>
                <w:sz w:val="20"/>
              </w:rPr>
            </w:pPr>
            <w:r w:rsidRPr="00002057">
              <w:rPr>
                <w:b/>
                <w:sz w:val="20"/>
              </w:rPr>
              <w:t>Podmínky stanoviska z hlediska vlivů na předměty ochran</w:t>
            </w:r>
            <w:r w:rsidR="00002057" w:rsidRPr="00002057">
              <w:rPr>
                <w:b/>
                <w:sz w:val="20"/>
              </w:rPr>
              <w:t xml:space="preserve">y a celistvost lokalit soustavy </w:t>
            </w:r>
            <w:r w:rsidRPr="00002057">
              <w:rPr>
                <w:b/>
                <w:sz w:val="20"/>
              </w:rPr>
              <w:t>Natura 2000:</w:t>
            </w:r>
          </w:p>
        </w:tc>
      </w:tr>
      <w:tr w:rsidR="00717978" w:rsidRPr="00D62D46" w14:paraId="012198E3" w14:textId="77777777" w:rsidTr="00A61B34">
        <w:tc>
          <w:tcPr>
            <w:tcW w:w="5070" w:type="dxa"/>
          </w:tcPr>
          <w:p w14:paraId="51F73938" w14:textId="77777777" w:rsidR="004F1A4F" w:rsidRPr="00AA7566" w:rsidRDefault="00C534F3" w:rsidP="006B020D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AA7566">
              <w:rPr>
                <w:rFonts w:ascii="Calibri" w:hAnsi="Calibri" w:cs="Calibri"/>
                <w:sz w:val="20"/>
                <w:szCs w:val="20"/>
              </w:rPr>
              <w:lastRenderedPageBreak/>
              <w:t>27</w:t>
            </w:r>
            <w:r w:rsidR="00D023C1" w:rsidRPr="00AA7566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AA7566">
              <w:rPr>
                <w:rFonts w:ascii="Calibri" w:hAnsi="Calibri" w:cs="Calibri"/>
                <w:sz w:val="20"/>
                <w:szCs w:val="20"/>
              </w:rPr>
              <w:t xml:space="preserve">Rozvoj rybníkářství, rekonstrukce rybníků nebo jejich odbahňování, pokud se nachází v EVL nebo PO, řešit </w:t>
            </w:r>
            <w:r w:rsidR="006F3785">
              <w:rPr>
                <w:rFonts w:ascii="Calibri" w:hAnsi="Calibri" w:cs="Calibri"/>
                <w:sz w:val="20"/>
                <w:szCs w:val="20"/>
              </w:rPr>
              <w:t>s ohledem na předměty ochrany a </w:t>
            </w:r>
            <w:r w:rsidRPr="00AA7566">
              <w:rPr>
                <w:rFonts w:ascii="Calibri" w:hAnsi="Calibri" w:cs="Calibri"/>
                <w:sz w:val="20"/>
                <w:szCs w:val="20"/>
              </w:rPr>
              <w:t>celistvost lokalit a ve spolupráci s příslušnými orgány ochrany přírody.</w:t>
            </w:r>
          </w:p>
        </w:tc>
        <w:tc>
          <w:tcPr>
            <w:tcW w:w="4114" w:type="dxa"/>
          </w:tcPr>
          <w:p w14:paraId="145AF97B" w14:textId="77777777" w:rsidR="004F1A4F" w:rsidRPr="00D62D46" w:rsidRDefault="00D023C1" w:rsidP="00295C28">
            <w:pPr>
              <w:pStyle w:val="Bezmezer"/>
              <w:jc w:val="both"/>
              <w:rPr>
                <w:sz w:val="20"/>
                <w:highlight w:val="yellow"/>
              </w:rPr>
            </w:pPr>
            <w:r w:rsidRPr="0073595A">
              <w:rPr>
                <w:b/>
                <w:sz w:val="20"/>
              </w:rPr>
              <w:t>Akceptováno.</w:t>
            </w:r>
            <w:r w:rsidR="006F3785" w:rsidRPr="0073595A">
              <w:rPr>
                <w:sz w:val="20"/>
              </w:rPr>
              <w:t xml:space="preserve"> </w:t>
            </w:r>
            <w:r w:rsidR="006F3785" w:rsidRPr="00EC54DA">
              <w:rPr>
                <w:rFonts w:asciiTheme="minorHAnsi" w:hAnsiTheme="minorHAnsi" w:cstheme="minorHAnsi"/>
                <w:sz w:val="20"/>
              </w:rPr>
              <w:t>Konkrétní projekty, u</w:t>
            </w:r>
            <w:r w:rsidR="006F3785">
              <w:rPr>
                <w:rFonts w:asciiTheme="minorHAnsi" w:hAnsiTheme="minorHAnsi" w:cstheme="minorHAnsi"/>
                <w:sz w:val="20"/>
              </w:rPr>
              <w:t> </w:t>
            </w:r>
            <w:r w:rsidR="006F3785" w:rsidRPr="00EC54DA">
              <w:rPr>
                <w:rFonts w:asciiTheme="minorHAnsi" w:hAnsiTheme="minorHAnsi" w:cstheme="minorHAnsi"/>
                <w:sz w:val="20"/>
              </w:rPr>
              <w:t>kterých to bude vyžadova</w:t>
            </w:r>
            <w:r w:rsidR="006F3785">
              <w:rPr>
                <w:rFonts w:asciiTheme="minorHAnsi" w:hAnsiTheme="minorHAnsi" w:cstheme="minorHAnsi"/>
                <w:sz w:val="20"/>
              </w:rPr>
              <w:t>t zákon, budou posuzovány dle § </w:t>
            </w:r>
            <w:r w:rsidR="0073595A">
              <w:rPr>
                <w:rFonts w:asciiTheme="minorHAnsi" w:hAnsiTheme="minorHAnsi" w:cstheme="minorHAnsi"/>
                <w:sz w:val="20"/>
              </w:rPr>
              <w:t>67 zákona č. </w:t>
            </w:r>
            <w:r w:rsidR="006F3785">
              <w:rPr>
                <w:rFonts w:asciiTheme="minorHAnsi" w:hAnsiTheme="minorHAnsi" w:cstheme="minorHAnsi"/>
                <w:sz w:val="20"/>
              </w:rPr>
              <w:t>114/1991 Sb., o </w:t>
            </w:r>
            <w:r w:rsidR="006F3785" w:rsidRPr="00EC54DA">
              <w:rPr>
                <w:rFonts w:asciiTheme="minorHAnsi" w:hAnsiTheme="minorHAnsi" w:cstheme="minorHAnsi"/>
                <w:sz w:val="20"/>
              </w:rPr>
              <w:t>ochraně přírody a krajiny, ve znění pozdějších předpisů (biologické hodnocení),</w:t>
            </w:r>
            <w:r w:rsidR="006F3785">
              <w:rPr>
                <w:rFonts w:asciiTheme="minorHAnsi" w:hAnsiTheme="minorHAnsi" w:cstheme="minorHAnsi"/>
                <w:sz w:val="20"/>
              </w:rPr>
              <w:t xml:space="preserve"> či dle § </w:t>
            </w:r>
            <w:r w:rsidR="006F3785" w:rsidRPr="00EC54DA">
              <w:rPr>
                <w:rFonts w:asciiTheme="minorHAnsi" w:hAnsiTheme="minorHAnsi" w:cstheme="minorHAnsi"/>
                <w:sz w:val="20"/>
              </w:rPr>
              <w:t>45i téhož zákona (</w:t>
            </w:r>
            <w:proofErr w:type="spellStart"/>
            <w:r w:rsidR="006F3785" w:rsidRPr="00EC54DA">
              <w:rPr>
                <w:rFonts w:asciiTheme="minorHAnsi" w:hAnsiTheme="minorHAnsi" w:cstheme="minorHAnsi"/>
                <w:sz w:val="20"/>
              </w:rPr>
              <w:t>naturové</w:t>
            </w:r>
            <w:proofErr w:type="spellEnd"/>
            <w:r w:rsidR="006F3785" w:rsidRPr="00EC54DA">
              <w:rPr>
                <w:rFonts w:asciiTheme="minorHAnsi" w:hAnsiTheme="minorHAnsi" w:cstheme="minorHAnsi"/>
                <w:sz w:val="20"/>
              </w:rPr>
              <w:t xml:space="preserve"> hodnocení). Konkrétní projekty či aktivity, které by vyvolávaly potenciální negativní dopady, budou podléhat rozhodnutí o</w:t>
            </w:r>
            <w:r w:rsidR="006F3785">
              <w:rPr>
                <w:rFonts w:asciiTheme="minorHAnsi" w:hAnsiTheme="minorHAnsi" w:cstheme="minorHAnsi"/>
                <w:sz w:val="20"/>
              </w:rPr>
              <w:t>rgánů ochrany přírody a budou s </w:t>
            </w:r>
            <w:r w:rsidR="006F3785" w:rsidRPr="00EC54DA">
              <w:rPr>
                <w:rFonts w:asciiTheme="minorHAnsi" w:hAnsiTheme="minorHAnsi" w:cstheme="minorHAnsi"/>
                <w:sz w:val="20"/>
              </w:rPr>
              <w:t>nimi předem projednány.</w:t>
            </w:r>
            <w:r w:rsidR="00295C28">
              <w:rPr>
                <w:rFonts w:asciiTheme="minorHAnsi" w:hAnsiTheme="minorHAnsi" w:cstheme="minorHAnsi"/>
                <w:sz w:val="20"/>
              </w:rPr>
              <w:t xml:space="preserve"> Zohledněno v rámci opatření 6.1.10.</w:t>
            </w:r>
          </w:p>
        </w:tc>
      </w:tr>
      <w:tr w:rsidR="00717978" w:rsidRPr="00D62D46" w14:paraId="68937790" w14:textId="77777777" w:rsidTr="00A61B34">
        <w:tc>
          <w:tcPr>
            <w:tcW w:w="5070" w:type="dxa"/>
          </w:tcPr>
          <w:p w14:paraId="00F2EE99" w14:textId="77777777" w:rsidR="004F1A4F" w:rsidRPr="00AA7566" w:rsidRDefault="00C534F3" w:rsidP="00354060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AA7566">
              <w:rPr>
                <w:rFonts w:ascii="Calibri" w:hAnsi="Calibri" w:cs="Calibri"/>
                <w:sz w:val="20"/>
                <w:szCs w:val="20"/>
              </w:rPr>
              <w:t>28</w:t>
            </w:r>
            <w:r w:rsidR="00D023C1" w:rsidRPr="00AA7566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AA7566">
              <w:rPr>
                <w:rFonts w:ascii="Calibri" w:hAnsi="Calibri" w:cs="Calibri"/>
                <w:sz w:val="20"/>
                <w:szCs w:val="20"/>
              </w:rPr>
              <w:t>Při řešení dopravních staveb postupovat v souladu s platnými Zásadami územního rozvoje Jihočeského kraje a územními plány obci. Vhodnou lokalizací minimalizovat zásahy do EVL, PO a MZCHÚ, problémové záměry řešit variantně. Současně zajistit u těchto staveb migrační prostupnost krajiny.</w:t>
            </w:r>
          </w:p>
        </w:tc>
        <w:tc>
          <w:tcPr>
            <w:tcW w:w="4114" w:type="dxa"/>
          </w:tcPr>
          <w:p w14:paraId="02B8048E" w14:textId="77777777" w:rsidR="004F1A4F" w:rsidRPr="00D62D46" w:rsidRDefault="00612963" w:rsidP="004A6802">
            <w:pPr>
              <w:pStyle w:val="Bezmezer"/>
              <w:jc w:val="both"/>
              <w:rPr>
                <w:sz w:val="20"/>
                <w:highlight w:val="yellow"/>
              </w:rPr>
            </w:pPr>
            <w:r w:rsidRPr="00FF3642">
              <w:rPr>
                <w:b/>
                <w:sz w:val="20"/>
              </w:rPr>
              <w:t>Akceptováno.</w:t>
            </w:r>
            <w:r w:rsidRPr="00FF3642">
              <w:rPr>
                <w:sz w:val="20"/>
              </w:rPr>
              <w:t xml:space="preserve"> </w:t>
            </w:r>
            <w:r w:rsidR="004A6802" w:rsidRPr="00FF3642">
              <w:rPr>
                <w:sz w:val="20"/>
              </w:rPr>
              <w:t>V případě (nejen) dopravních staveb bude v souladu se zákonem postupováno dle platných ZÚR JČK a ÚP obcí. Konkrétní projekty či aktivity, které by vyvolávaly potenciální negativní dopady na předměty ochrany</w:t>
            </w:r>
            <w:r w:rsidR="004A6802">
              <w:rPr>
                <w:sz w:val="20"/>
              </w:rPr>
              <w:t xml:space="preserve"> ZCHÚ či </w:t>
            </w:r>
            <w:proofErr w:type="spellStart"/>
            <w:r w:rsidR="004A6802">
              <w:rPr>
                <w:sz w:val="20"/>
              </w:rPr>
              <w:t>naturových</w:t>
            </w:r>
            <w:proofErr w:type="spellEnd"/>
            <w:r w:rsidR="004A6802">
              <w:rPr>
                <w:sz w:val="20"/>
              </w:rPr>
              <w:t xml:space="preserve"> lokalit</w:t>
            </w:r>
            <w:r w:rsidR="004A6802" w:rsidRPr="003912D1">
              <w:rPr>
                <w:sz w:val="20"/>
              </w:rPr>
              <w:t>, budou podléhat rozhodnutí orgánů ochrany přírody</w:t>
            </w:r>
            <w:r w:rsidR="004A6802">
              <w:rPr>
                <w:sz w:val="20"/>
              </w:rPr>
              <w:t>. Případné problémové záměry budou navrženy, tam kde to bude relevantní, variantně a bude zajištěna migrační prostupnost krajiny.</w:t>
            </w:r>
          </w:p>
        </w:tc>
      </w:tr>
      <w:tr w:rsidR="00091403" w:rsidRPr="00D62D46" w14:paraId="5FAFEAD2" w14:textId="77777777" w:rsidTr="00A61B34">
        <w:tc>
          <w:tcPr>
            <w:tcW w:w="5070" w:type="dxa"/>
          </w:tcPr>
          <w:p w14:paraId="7C5EB4CF" w14:textId="77777777" w:rsidR="004F1A4F" w:rsidRPr="00AA7566" w:rsidRDefault="00C534F3" w:rsidP="00354060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AA7566">
              <w:rPr>
                <w:rFonts w:ascii="Calibri" w:hAnsi="Calibri" w:cs="Calibri"/>
                <w:sz w:val="20"/>
                <w:szCs w:val="20"/>
              </w:rPr>
              <w:t>29</w:t>
            </w:r>
            <w:r w:rsidR="00FA3332" w:rsidRPr="00AA7566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AA7566">
              <w:rPr>
                <w:rFonts w:ascii="Calibri" w:hAnsi="Calibri" w:cs="Calibri"/>
                <w:sz w:val="20"/>
                <w:szCs w:val="20"/>
              </w:rPr>
              <w:t>Při lokalizaci nových cyklostezek/tras zohledňovat výskyt předmětů ochrany soustavy Natura 2000 a spolupracovat s příslušnými orgány ochrany přírody.</w:t>
            </w:r>
          </w:p>
        </w:tc>
        <w:tc>
          <w:tcPr>
            <w:tcW w:w="4114" w:type="dxa"/>
          </w:tcPr>
          <w:p w14:paraId="584B66B4" w14:textId="77777777" w:rsidR="004F1A4F" w:rsidRPr="00D62D46" w:rsidRDefault="00612963" w:rsidP="00DA1C48">
            <w:pPr>
              <w:pStyle w:val="Bezmezer"/>
              <w:jc w:val="both"/>
              <w:rPr>
                <w:b/>
                <w:sz w:val="20"/>
                <w:highlight w:val="yellow"/>
              </w:rPr>
            </w:pPr>
            <w:r w:rsidRPr="005D2F18">
              <w:rPr>
                <w:b/>
                <w:sz w:val="20"/>
              </w:rPr>
              <w:t>Akceptováno.</w:t>
            </w:r>
            <w:r w:rsidR="00DA1C48" w:rsidRPr="005D2F18">
              <w:rPr>
                <w:sz w:val="20"/>
              </w:rPr>
              <w:t xml:space="preserve"> </w:t>
            </w:r>
            <w:r w:rsidR="005D2F18" w:rsidRPr="005D2F18">
              <w:rPr>
                <w:sz w:val="20"/>
              </w:rPr>
              <w:t xml:space="preserve">Konkrétní projekty či aktivity, které by vyvolávaly potenciální negativní dopady, budou podléhat rozhodnutí orgánů ochrany přírody na základě požadovaného </w:t>
            </w:r>
            <w:proofErr w:type="spellStart"/>
            <w:r w:rsidR="005D2F18" w:rsidRPr="005D2F18">
              <w:rPr>
                <w:sz w:val="20"/>
              </w:rPr>
              <w:t>naturového</w:t>
            </w:r>
            <w:proofErr w:type="spellEnd"/>
            <w:r w:rsidR="005D2F18" w:rsidRPr="005D2F18">
              <w:rPr>
                <w:sz w:val="20"/>
              </w:rPr>
              <w:t xml:space="preserve"> hodnocení.</w:t>
            </w:r>
          </w:p>
        </w:tc>
      </w:tr>
      <w:tr w:rsidR="00091403" w:rsidRPr="00D62D46" w14:paraId="2A5BD3C8" w14:textId="77777777" w:rsidTr="00A61B34">
        <w:tc>
          <w:tcPr>
            <w:tcW w:w="5070" w:type="dxa"/>
          </w:tcPr>
          <w:p w14:paraId="7AD0558C" w14:textId="77777777" w:rsidR="004F1A4F" w:rsidRPr="00AA7566" w:rsidRDefault="00C534F3" w:rsidP="00091403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7566">
              <w:rPr>
                <w:rFonts w:ascii="Calibri" w:hAnsi="Calibri" w:cs="Calibri"/>
                <w:sz w:val="20"/>
                <w:szCs w:val="20"/>
              </w:rPr>
              <w:t>30</w:t>
            </w:r>
            <w:r w:rsidR="00FA3332" w:rsidRPr="00AA7566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AA7566">
              <w:rPr>
                <w:rFonts w:ascii="Calibri" w:hAnsi="Calibri" w:cs="Calibri"/>
                <w:sz w:val="20"/>
                <w:szCs w:val="20"/>
              </w:rPr>
              <w:t>Při lokalizaci OZE v krajině mimo zástavbu zohledňovat přírodní hodnoty v území.</w:t>
            </w:r>
          </w:p>
        </w:tc>
        <w:tc>
          <w:tcPr>
            <w:tcW w:w="4114" w:type="dxa"/>
          </w:tcPr>
          <w:p w14:paraId="256EE534" w14:textId="77777777" w:rsidR="004F1A4F" w:rsidRPr="00D62D46" w:rsidRDefault="00612963" w:rsidP="00494599">
            <w:pPr>
              <w:pStyle w:val="Bezmezer"/>
              <w:jc w:val="both"/>
              <w:rPr>
                <w:b/>
                <w:sz w:val="20"/>
                <w:highlight w:val="yellow"/>
              </w:rPr>
            </w:pPr>
            <w:r w:rsidRPr="00917F08">
              <w:rPr>
                <w:b/>
                <w:sz w:val="20"/>
              </w:rPr>
              <w:t>Akceptováno.</w:t>
            </w:r>
            <w:r w:rsidRPr="00917F08">
              <w:rPr>
                <w:sz w:val="20"/>
              </w:rPr>
              <w:t xml:space="preserve"> </w:t>
            </w:r>
            <w:r w:rsidR="00506208" w:rsidRPr="00A41116">
              <w:rPr>
                <w:sz w:val="20"/>
              </w:rPr>
              <w:t xml:space="preserve">Ochrana </w:t>
            </w:r>
            <w:r w:rsidR="00506208">
              <w:rPr>
                <w:sz w:val="20"/>
              </w:rPr>
              <w:t>přírodních hodnot</w:t>
            </w:r>
            <w:r w:rsidR="00506208" w:rsidRPr="00A41116">
              <w:rPr>
                <w:sz w:val="20"/>
              </w:rPr>
              <w:t xml:space="preserve"> je zohledněna zejména ve </w:t>
            </w:r>
            <w:r w:rsidR="00506208">
              <w:rPr>
                <w:sz w:val="20"/>
              </w:rPr>
              <w:t>strategickém</w:t>
            </w:r>
            <w:r w:rsidR="00506208" w:rsidRPr="00A41116">
              <w:rPr>
                <w:sz w:val="20"/>
              </w:rPr>
              <w:t xml:space="preserve"> cíle</w:t>
            </w:r>
            <w:r w:rsidR="00506208">
              <w:rPr>
                <w:sz w:val="20"/>
              </w:rPr>
              <w:t xml:space="preserve"> 6.1</w:t>
            </w:r>
            <w:r w:rsidR="00506208" w:rsidRPr="00A41116">
              <w:rPr>
                <w:sz w:val="20"/>
              </w:rPr>
              <w:t>. Výběr projektů bude podléhat environmentálním kritériím pro výběr projektů, na jejichž základě</w:t>
            </w:r>
            <w:r w:rsidR="00506208">
              <w:rPr>
                <w:sz w:val="20"/>
              </w:rPr>
              <w:t xml:space="preserve"> budou následně </w:t>
            </w:r>
            <w:r w:rsidR="00506208" w:rsidRPr="003A4E78">
              <w:rPr>
                <w:sz w:val="20"/>
              </w:rPr>
              <w:t xml:space="preserve">doporučeny k realizaci ty projekty, při jejichž </w:t>
            </w:r>
            <w:r w:rsidR="00506208">
              <w:rPr>
                <w:sz w:val="20"/>
              </w:rPr>
              <w:t xml:space="preserve">realizaci </w:t>
            </w:r>
            <w:r w:rsidR="00494599">
              <w:rPr>
                <w:sz w:val="20"/>
              </w:rPr>
              <w:t>bude zachována ochrana přírody a krajiny</w:t>
            </w:r>
            <w:r w:rsidR="00506208" w:rsidRPr="003A4E78">
              <w:rPr>
                <w:sz w:val="20"/>
              </w:rPr>
              <w:t>.</w:t>
            </w:r>
          </w:p>
        </w:tc>
      </w:tr>
      <w:tr w:rsidR="008416D1" w:rsidRPr="00D62D46" w14:paraId="00535AFC" w14:textId="77777777" w:rsidTr="00A61B34">
        <w:trPr>
          <w:trHeight w:val="1506"/>
        </w:trPr>
        <w:tc>
          <w:tcPr>
            <w:tcW w:w="5070" w:type="dxa"/>
          </w:tcPr>
          <w:p w14:paraId="1FD87BF8" w14:textId="77777777" w:rsidR="008416D1" w:rsidRPr="00AA7566" w:rsidRDefault="008416D1" w:rsidP="00354060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AA7566">
              <w:rPr>
                <w:rFonts w:ascii="Calibri" w:hAnsi="Calibri" w:cs="Calibri"/>
                <w:sz w:val="20"/>
                <w:szCs w:val="20"/>
              </w:rPr>
              <w:t>31) Větrné elektrárny doporučujeme lokalizovat mimo území VZCHÚ a MZCHÚ a lokalit soustavy Natura 2000, respektive území významných tahů ptactva.</w:t>
            </w:r>
          </w:p>
        </w:tc>
        <w:tc>
          <w:tcPr>
            <w:tcW w:w="4114" w:type="dxa"/>
          </w:tcPr>
          <w:p w14:paraId="4F18AA8A" w14:textId="77777777" w:rsidR="008416D1" w:rsidRPr="00D62D46" w:rsidRDefault="008416D1" w:rsidP="00D6359F">
            <w:pPr>
              <w:pStyle w:val="Bezmezer"/>
              <w:jc w:val="both"/>
              <w:rPr>
                <w:b/>
                <w:sz w:val="20"/>
                <w:highlight w:val="yellow"/>
              </w:rPr>
            </w:pPr>
            <w:r w:rsidRPr="00917F08">
              <w:rPr>
                <w:b/>
                <w:sz w:val="20"/>
              </w:rPr>
              <w:t>Akceptováno.</w:t>
            </w:r>
            <w:r w:rsidRPr="00917F08">
              <w:rPr>
                <w:sz w:val="20"/>
              </w:rPr>
              <w:t xml:space="preserve"> Konkrétní projekty či aktivity, které by vyvolávaly potenciální negativní dopady na VZCHÚ nebo </w:t>
            </w:r>
            <w:proofErr w:type="spellStart"/>
            <w:r w:rsidRPr="00917F08">
              <w:rPr>
                <w:sz w:val="20"/>
              </w:rPr>
              <w:t>naturové</w:t>
            </w:r>
            <w:proofErr w:type="spellEnd"/>
            <w:r w:rsidRPr="00917F08">
              <w:rPr>
                <w:sz w:val="20"/>
              </w:rPr>
              <w:t xml:space="preserve"> lokality, budou podléhat rozhodnutí orgánů ochrany přírody a budou vyhodnoceny prostřednictvím biologického</w:t>
            </w:r>
            <w:r>
              <w:rPr>
                <w:sz w:val="20"/>
              </w:rPr>
              <w:t xml:space="preserve"> nebo </w:t>
            </w:r>
            <w:proofErr w:type="spellStart"/>
            <w:r>
              <w:rPr>
                <w:sz w:val="20"/>
              </w:rPr>
              <w:t>naturového</w:t>
            </w:r>
            <w:proofErr w:type="spellEnd"/>
            <w:r>
              <w:rPr>
                <w:sz w:val="20"/>
              </w:rPr>
              <w:t xml:space="preserve"> hodnocení.</w:t>
            </w:r>
          </w:p>
        </w:tc>
      </w:tr>
      <w:tr w:rsidR="00091403" w:rsidRPr="00D62D46" w14:paraId="7A7E61DB" w14:textId="77777777" w:rsidTr="00A61B34">
        <w:tc>
          <w:tcPr>
            <w:tcW w:w="5070" w:type="dxa"/>
          </w:tcPr>
          <w:p w14:paraId="18D629C6" w14:textId="77777777" w:rsidR="004F1A4F" w:rsidRPr="00AA7566" w:rsidRDefault="00C534F3" w:rsidP="00354060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AA7566">
              <w:rPr>
                <w:rFonts w:ascii="Calibri" w:hAnsi="Calibri" w:cs="Calibri"/>
                <w:sz w:val="20"/>
                <w:szCs w:val="20"/>
              </w:rPr>
              <w:t>32</w:t>
            </w:r>
            <w:r w:rsidR="00612963" w:rsidRPr="00AA7566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AA7566">
              <w:rPr>
                <w:rFonts w:ascii="Calibri" w:hAnsi="Calibri" w:cs="Calibri"/>
                <w:sz w:val="20"/>
                <w:szCs w:val="20"/>
              </w:rPr>
              <w:t>Při realizaci sítí vysokého napětí zajistit vhodným technickým provedením ochranu ptáků před úrazem/smrtí elektrickým proudem.</w:t>
            </w:r>
          </w:p>
        </w:tc>
        <w:tc>
          <w:tcPr>
            <w:tcW w:w="4114" w:type="dxa"/>
          </w:tcPr>
          <w:p w14:paraId="6B0D5B8F" w14:textId="77777777" w:rsidR="004F1A4F" w:rsidRPr="00D62D46" w:rsidRDefault="00C55BAA" w:rsidP="00354060">
            <w:pPr>
              <w:pStyle w:val="Bezmezer"/>
              <w:jc w:val="both"/>
              <w:rPr>
                <w:sz w:val="20"/>
                <w:highlight w:val="yellow"/>
              </w:rPr>
            </w:pPr>
            <w:r>
              <w:rPr>
                <w:b/>
                <w:sz w:val="20"/>
              </w:rPr>
              <w:t>Akceptováno.</w:t>
            </w:r>
            <w:r w:rsidRPr="00136D2B">
              <w:rPr>
                <w:sz w:val="20"/>
              </w:rPr>
              <w:t xml:space="preserve"> Tento požadavek</w:t>
            </w:r>
            <w:r>
              <w:rPr>
                <w:sz w:val="20"/>
              </w:rPr>
              <w:t xml:space="preserve"> bude brán v úvahu při realizaci sítí vysokého napětí subjekty, které jsou nositeli záměrů výstavby sítí vysokého napětí a bude uplatňován v rámci stavebního řízení, případně také EIA a </w:t>
            </w:r>
            <w:proofErr w:type="spellStart"/>
            <w:r>
              <w:rPr>
                <w:sz w:val="20"/>
              </w:rPr>
              <w:t>naturového</w:t>
            </w:r>
            <w:proofErr w:type="spellEnd"/>
            <w:r>
              <w:rPr>
                <w:sz w:val="20"/>
              </w:rPr>
              <w:t>/biologického hodnocení.</w:t>
            </w:r>
          </w:p>
        </w:tc>
      </w:tr>
      <w:tr w:rsidR="00091403" w:rsidRPr="00D62D46" w14:paraId="51D081D9" w14:textId="77777777" w:rsidTr="00A61B34">
        <w:tc>
          <w:tcPr>
            <w:tcW w:w="5070" w:type="dxa"/>
          </w:tcPr>
          <w:p w14:paraId="5D7D09F7" w14:textId="77777777" w:rsidR="004F1A4F" w:rsidRPr="00AA7566" w:rsidRDefault="00C534F3" w:rsidP="00354060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254711">
              <w:rPr>
                <w:rFonts w:ascii="Calibri" w:hAnsi="Calibri" w:cs="Calibri"/>
                <w:sz w:val="20"/>
                <w:szCs w:val="20"/>
              </w:rPr>
              <w:t>33</w:t>
            </w:r>
            <w:r w:rsidR="00612963" w:rsidRPr="00254711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254711">
              <w:rPr>
                <w:rFonts w:ascii="Calibri" w:hAnsi="Calibri" w:cs="Calibri"/>
                <w:sz w:val="20"/>
                <w:szCs w:val="20"/>
              </w:rPr>
              <w:t>Doporučujeme mezi opatření v rámci SC 7.1 nebo 7.2 vhodně zahrnout také podporu udržitelných forem dopravy, tj. zejména veřejnou dopravu, kombinované formy dopravy (P+R aj.) a inteligentní dopravní systémy.</w:t>
            </w:r>
          </w:p>
        </w:tc>
        <w:tc>
          <w:tcPr>
            <w:tcW w:w="4114" w:type="dxa"/>
          </w:tcPr>
          <w:p w14:paraId="20F428DE" w14:textId="77777777" w:rsidR="004F1A4F" w:rsidRPr="006F1EEA" w:rsidRDefault="007A0953" w:rsidP="0078052E">
            <w:pPr>
              <w:pStyle w:val="Bezmezer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Akceptováno.</w:t>
            </w:r>
            <w:r w:rsidR="0078052E">
              <w:rPr>
                <w:b/>
                <w:sz w:val="20"/>
              </w:rPr>
              <w:t xml:space="preserve"> </w:t>
            </w:r>
            <w:r w:rsidR="0078052E" w:rsidRPr="0078052E">
              <w:rPr>
                <w:sz w:val="20"/>
              </w:rPr>
              <w:t>Tato opatření jsou zahrnuta v rámci prioritní osy č. 2 prostřednictvím bodů:</w:t>
            </w:r>
            <w:r w:rsidR="0078052E">
              <w:rPr>
                <w:sz w:val="20"/>
              </w:rPr>
              <w:t xml:space="preserve"> </w:t>
            </w:r>
            <w:r w:rsidR="0078052E" w:rsidRPr="0078052E">
              <w:rPr>
                <w:sz w:val="20"/>
              </w:rPr>
              <w:t>2.3.3.</w:t>
            </w:r>
            <w:r w:rsidR="0078052E">
              <w:rPr>
                <w:sz w:val="20"/>
              </w:rPr>
              <w:t xml:space="preserve"> a </w:t>
            </w:r>
            <w:r w:rsidR="0078052E" w:rsidRPr="0078052E">
              <w:rPr>
                <w:sz w:val="20"/>
              </w:rPr>
              <w:t xml:space="preserve">2.2.19. Veřejná doprava a její rozvoj má pak samostatný strategický cíl č. 2.3. </w:t>
            </w:r>
          </w:p>
        </w:tc>
      </w:tr>
      <w:tr w:rsidR="00091403" w:rsidRPr="00D62D46" w14:paraId="3993F0E4" w14:textId="77777777" w:rsidTr="00A61B34">
        <w:tc>
          <w:tcPr>
            <w:tcW w:w="5070" w:type="dxa"/>
          </w:tcPr>
          <w:p w14:paraId="47123A52" w14:textId="77777777" w:rsidR="004F1A4F" w:rsidRPr="00AA7566" w:rsidRDefault="00C534F3" w:rsidP="00354060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7566">
              <w:rPr>
                <w:rFonts w:ascii="Calibri" w:hAnsi="Calibri" w:cs="Calibri"/>
                <w:sz w:val="20"/>
                <w:szCs w:val="20"/>
              </w:rPr>
              <w:t>34</w:t>
            </w:r>
            <w:r w:rsidR="00612963" w:rsidRPr="00AA7566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AA7566">
              <w:rPr>
                <w:rFonts w:ascii="Calibri" w:hAnsi="Calibri" w:cs="Calibri"/>
                <w:sz w:val="20"/>
                <w:szCs w:val="20"/>
              </w:rPr>
              <w:t>Při případných rekonstrukcích či revitalizacích kulturně-historických objektů chráněných jako EVL zajistit odpovídající podmínky pro předměty ochrany.</w:t>
            </w:r>
          </w:p>
        </w:tc>
        <w:tc>
          <w:tcPr>
            <w:tcW w:w="4114" w:type="dxa"/>
          </w:tcPr>
          <w:p w14:paraId="2154497C" w14:textId="77777777" w:rsidR="004F1A4F" w:rsidRPr="00D62D46" w:rsidRDefault="00A12793" w:rsidP="007A0953">
            <w:pPr>
              <w:pStyle w:val="Bezmezer"/>
              <w:jc w:val="both"/>
              <w:rPr>
                <w:sz w:val="20"/>
                <w:highlight w:val="yellow"/>
              </w:rPr>
            </w:pPr>
            <w:r w:rsidRPr="00554B61">
              <w:rPr>
                <w:rFonts w:asciiTheme="minorHAnsi" w:hAnsiTheme="minorHAnsi" w:cstheme="minorHAnsi"/>
                <w:b/>
                <w:sz w:val="20"/>
              </w:rPr>
              <w:t>Akceptováno.</w:t>
            </w:r>
            <w:r w:rsidRPr="00554B6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C54DA">
              <w:rPr>
                <w:rFonts w:asciiTheme="minorHAnsi" w:hAnsiTheme="minorHAnsi" w:cstheme="minorHAnsi"/>
                <w:sz w:val="20"/>
              </w:rPr>
              <w:t>Konkrétní projekty či aktivity, které by vyvolávaly potenciální negativní dopady, budou podléhat rozhodnutí o</w:t>
            </w:r>
            <w:r>
              <w:rPr>
                <w:rFonts w:asciiTheme="minorHAnsi" w:hAnsiTheme="minorHAnsi" w:cstheme="minorHAnsi"/>
                <w:sz w:val="20"/>
              </w:rPr>
              <w:t>rgánů ochrany přírody a budou s </w:t>
            </w:r>
            <w:r w:rsidRPr="00EC54DA">
              <w:rPr>
                <w:rFonts w:asciiTheme="minorHAnsi" w:hAnsiTheme="minorHAnsi" w:cstheme="minorHAnsi"/>
                <w:sz w:val="20"/>
              </w:rPr>
              <w:t xml:space="preserve">nimi předem </w:t>
            </w:r>
            <w:r w:rsidRPr="00EC54DA">
              <w:rPr>
                <w:rFonts w:asciiTheme="minorHAnsi" w:hAnsiTheme="minorHAnsi" w:cstheme="minorHAnsi"/>
                <w:sz w:val="20"/>
              </w:rPr>
              <w:lastRenderedPageBreak/>
              <w:t>projednány.</w:t>
            </w:r>
            <w:r w:rsidR="007A0953">
              <w:rPr>
                <w:rFonts w:asciiTheme="minorHAnsi" w:hAnsiTheme="minorHAnsi" w:cstheme="minorHAnsi"/>
                <w:sz w:val="20"/>
              </w:rPr>
              <w:t xml:space="preserve"> Bude řešeno v rámci přípravy konkrétních projektů.</w:t>
            </w:r>
          </w:p>
        </w:tc>
      </w:tr>
    </w:tbl>
    <w:p w14:paraId="7B8D224E" w14:textId="77777777" w:rsidR="00F53DBE" w:rsidRPr="00B80D7D" w:rsidRDefault="00F53DBE" w:rsidP="00C53DEF">
      <w:pPr>
        <w:spacing w:after="0"/>
        <w:ind w:left="57" w:right="57"/>
        <w:jc w:val="both"/>
        <w:rPr>
          <w:rFonts w:eastAsia="Times New Roman" w:cs="Calibri"/>
          <w:lang w:eastAsia="cs-CZ"/>
        </w:rPr>
      </w:pPr>
    </w:p>
    <w:p w14:paraId="706A157A" w14:textId="77777777" w:rsidR="007A0953" w:rsidRDefault="007A0953">
      <w:pPr>
        <w:spacing w:after="0" w:line="240" w:lineRule="auto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30C6CF00" w14:textId="77777777" w:rsidR="00B773D2" w:rsidRPr="00F256A4" w:rsidRDefault="00B773D2" w:rsidP="00C53DEF">
      <w:pPr>
        <w:spacing w:after="0"/>
        <w:ind w:left="57" w:right="57"/>
        <w:jc w:val="both"/>
        <w:rPr>
          <w:rFonts w:eastAsia="Times New Roman" w:cs="Calibri"/>
          <w:b/>
          <w:lang w:eastAsia="cs-CZ"/>
        </w:rPr>
      </w:pPr>
      <w:r w:rsidRPr="00B80D7D">
        <w:rPr>
          <w:rFonts w:eastAsia="Times New Roman" w:cs="Calibri"/>
          <w:b/>
          <w:lang w:eastAsia="cs-CZ"/>
        </w:rPr>
        <w:lastRenderedPageBreak/>
        <w:t xml:space="preserve">B) Informace, jak bylo ve </w:t>
      </w:r>
      <w:r w:rsidRPr="00F256A4">
        <w:rPr>
          <w:rFonts w:eastAsia="Times New Roman" w:cs="Calibri"/>
          <w:b/>
          <w:lang w:eastAsia="cs-CZ"/>
        </w:rPr>
        <w:t>schválené koncepci zohledněno vyjádření dotčeného státu, pokud byla koncepce předmětem mezistátního posuzování podle § 14a</w:t>
      </w:r>
    </w:p>
    <w:p w14:paraId="55FFF935" w14:textId="77777777" w:rsidR="005763B2" w:rsidRPr="00F256A4" w:rsidRDefault="005763B2" w:rsidP="00C53DEF">
      <w:pPr>
        <w:autoSpaceDE w:val="0"/>
        <w:autoSpaceDN w:val="0"/>
        <w:adjustRightInd w:val="0"/>
        <w:spacing w:after="0"/>
        <w:ind w:left="57" w:right="57"/>
        <w:jc w:val="both"/>
        <w:rPr>
          <w:rFonts w:cs="Calibri"/>
        </w:rPr>
      </w:pPr>
    </w:p>
    <w:p w14:paraId="580847A9" w14:textId="77777777" w:rsidR="00B773D2" w:rsidRPr="00F256A4" w:rsidRDefault="004B2096" w:rsidP="00C53DEF">
      <w:pPr>
        <w:autoSpaceDE w:val="0"/>
        <w:autoSpaceDN w:val="0"/>
        <w:adjustRightInd w:val="0"/>
        <w:spacing w:after="0"/>
        <w:ind w:left="57" w:right="57"/>
        <w:jc w:val="both"/>
        <w:rPr>
          <w:rFonts w:cs="Calibri"/>
        </w:rPr>
      </w:pPr>
      <w:r w:rsidRPr="00CC323F">
        <w:rPr>
          <w:rFonts w:cs="Calibri"/>
        </w:rPr>
        <w:t>„</w:t>
      </w:r>
      <w:r w:rsidR="009A0947" w:rsidRPr="00CC323F">
        <w:rPr>
          <w:rFonts w:cs="Calibri"/>
        </w:rPr>
        <w:t>Program rozvoje Jihočeského kraje na období 2021-2027</w:t>
      </w:r>
      <w:r w:rsidRPr="00CC323F">
        <w:rPr>
          <w:rFonts w:cs="Calibri"/>
        </w:rPr>
        <w:t xml:space="preserve">“ </w:t>
      </w:r>
      <w:r w:rsidR="00BA105E" w:rsidRPr="00CC323F">
        <w:rPr>
          <w:rFonts w:cs="Calibri"/>
        </w:rPr>
        <w:t xml:space="preserve">je zaměřen na </w:t>
      </w:r>
      <w:r w:rsidR="00EA73E0" w:rsidRPr="00CC323F">
        <w:rPr>
          <w:rFonts w:cs="Calibri"/>
        </w:rPr>
        <w:t xml:space="preserve">území </w:t>
      </w:r>
      <w:r w:rsidR="00845C30" w:rsidRPr="00CC323F">
        <w:rPr>
          <w:rFonts w:cs="Calibri"/>
        </w:rPr>
        <w:t>Jihočeského</w:t>
      </w:r>
      <w:r w:rsidRPr="00CC323F">
        <w:rPr>
          <w:rFonts w:cs="Calibri"/>
        </w:rPr>
        <w:t xml:space="preserve"> kraje</w:t>
      </w:r>
      <w:r w:rsidR="005B3727" w:rsidRPr="00F256A4">
        <w:rPr>
          <w:rFonts w:cs="Calibri"/>
        </w:rPr>
        <w:t xml:space="preserve"> a</w:t>
      </w:r>
      <w:r w:rsidR="002A5C81" w:rsidRPr="00F256A4">
        <w:rPr>
          <w:rFonts w:cs="Calibri"/>
        </w:rPr>
        <w:t> </w:t>
      </w:r>
      <w:r w:rsidR="005B3727" w:rsidRPr="00F256A4">
        <w:rPr>
          <w:rFonts w:cs="Calibri"/>
        </w:rPr>
        <w:t>bezprostředního okolí</w:t>
      </w:r>
      <w:r w:rsidR="00BA105E" w:rsidRPr="00F256A4">
        <w:rPr>
          <w:rFonts w:cs="Calibri"/>
        </w:rPr>
        <w:t xml:space="preserve">, </w:t>
      </w:r>
      <w:r w:rsidR="00612963" w:rsidRPr="00F256A4">
        <w:rPr>
          <w:rFonts w:cs="Calibri"/>
        </w:rPr>
        <w:t>nejsou proto předpokládány žádné významné přeshraniční</w:t>
      </w:r>
      <w:r w:rsidR="00131501" w:rsidRPr="00F256A4">
        <w:rPr>
          <w:rFonts w:cs="Calibri"/>
        </w:rPr>
        <w:t xml:space="preserve"> vlivy koncepce na životní prostředí. </w:t>
      </w:r>
      <w:r w:rsidR="00B773D2" w:rsidRPr="00F256A4">
        <w:rPr>
          <w:rFonts w:cs="Calibri"/>
        </w:rPr>
        <w:t xml:space="preserve">Koncepce </w:t>
      </w:r>
      <w:r w:rsidR="00131501" w:rsidRPr="00F256A4">
        <w:rPr>
          <w:rFonts w:cs="Calibri"/>
        </w:rPr>
        <w:t xml:space="preserve">proto </w:t>
      </w:r>
      <w:r w:rsidR="00B773D2" w:rsidRPr="00F256A4">
        <w:rPr>
          <w:rFonts w:cs="Calibri"/>
        </w:rPr>
        <w:t>nebyla předmětem mezistátního posuzování.</w:t>
      </w:r>
    </w:p>
    <w:p w14:paraId="50B1FD54" w14:textId="77777777" w:rsidR="00B773D2" w:rsidRPr="00F256A4" w:rsidRDefault="00B773D2" w:rsidP="00C53DEF">
      <w:pPr>
        <w:autoSpaceDE w:val="0"/>
        <w:autoSpaceDN w:val="0"/>
        <w:adjustRightInd w:val="0"/>
        <w:spacing w:after="0"/>
        <w:ind w:left="57" w:right="57"/>
        <w:jc w:val="both"/>
        <w:rPr>
          <w:rFonts w:cs="Calibri"/>
        </w:rPr>
      </w:pPr>
    </w:p>
    <w:p w14:paraId="57505EAC" w14:textId="77777777" w:rsidR="00B773D2" w:rsidRPr="00F256A4" w:rsidRDefault="00B773D2" w:rsidP="00C53DEF">
      <w:pPr>
        <w:spacing w:after="0"/>
        <w:ind w:left="57" w:right="57"/>
        <w:jc w:val="both"/>
        <w:rPr>
          <w:rFonts w:eastAsia="Times New Roman" w:cs="Calibri"/>
          <w:b/>
          <w:lang w:eastAsia="cs-CZ"/>
        </w:rPr>
      </w:pPr>
      <w:r w:rsidRPr="00F256A4">
        <w:rPr>
          <w:rFonts w:eastAsia="Times New Roman" w:cs="Calibri"/>
          <w:b/>
          <w:lang w:eastAsia="cs-CZ"/>
        </w:rPr>
        <w:t>C) Odůvodnění vybrané varianty, pokud byl návrh koncepce zpracován ve variantách</w:t>
      </w:r>
    </w:p>
    <w:p w14:paraId="414CE08C" w14:textId="77777777" w:rsidR="00131501" w:rsidRPr="00F256A4" w:rsidRDefault="00131501" w:rsidP="00C53DEF">
      <w:pPr>
        <w:spacing w:after="0"/>
        <w:ind w:left="57" w:right="57"/>
        <w:jc w:val="both"/>
        <w:rPr>
          <w:rFonts w:eastAsia="Times New Roman" w:cs="Calibri"/>
          <w:lang w:eastAsia="cs-CZ"/>
        </w:rPr>
      </w:pPr>
    </w:p>
    <w:p w14:paraId="3D4F4290" w14:textId="77777777" w:rsidR="00F033CB" w:rsidRPr="005F2943" w:rsidRDefault="00F033CB" w:rsidP="00C53DEF">
      <w:pPr>
        <w:pStyle w:val="Nadpis4a"/>
        <w:rPr>
          <w:rFonts w:ascii="Calibri" w:hAnsi="Calibri" w:cs="Calibri"/>
        </w:rPr>
      </w:pPr>
      <w:r w:rsidRPr="005F2943">
        <w:rPr>
          <w:rFonts w:ascii="Calibri" w:hAnsi="Calibri" w:cs="Calibri"/>
        </w:rPr>
        <w:t xml:space="preserve">Při přípravě </w:t>
      </w:r>
      <w:r w:rsidR="005F2943" w:rsidRPr="005F2943">
        <w:rPr>
          <w:rFonts w:ascii="Calibri" w:hAnsi="Calibri" w:cs="Calibri"/>
        </w:rPr>
        <w:t>koncepce</w:t>
      </w:r>
      <w:r w:rsidRPr="005F2943">
        <w:rPr>
          <w:rFonts w:ascii="Calibri" w:hAnsi="Calibri" w:cs="Calibri"/>
        </w:rPr>
        <w:t xml:space="preserve"> byly zvažovány a diskutovány různé alternativy jejích dílčích částí, nicméně konečným výsledkem prací je předložení </w:t>
      </w:r>
      <w:r w:rsidR="007E2FC9" w:rsidRPr="005F2943">
        <w:rPr>
          <w:rFonts w:ascii="Calibri" w:hAnsi="Calibri" w:cs="Calibri"/>
        </w:rPr>
        <w:t xml:space="preserve">a hodnocení </w:t>
      </w:r>
      <w:r w:rsidR="00612963" w:rsidRPr="005F2943">
        <w:rPr>
          <w:rFonts w:ascii="Calibri" w:hAnsi="Calibri" w:cs="Calibri"/>
        </w:rPr>
        <w:t>koncepce v jediné variantě.</w:t>
      </w:r>
    </w:p>
    <w:p w14:paraId="24B950C7" w14:textId="77777777" w:rsidR="00EA73E0" w:rsidRPr="005F2943" w:rsidRDefault="00EA73E0" w:rsidP="00F033CB">
      <w:pPr>
        <w:spacing w:after="0"/>
        <w:ind w:right="57"/>
        <w:jc w:val="both"/>
        <w:rPr>
          <w:rFonts w:eastAsia="Times New Roman" w:cs="Calibri"/>
          <w:lang w:eastAsia="cs-CZ"/>
        </w:rPr>
      </w:pPr>
    </w:p>
    <w:p w14:paraId="745C9A30" w14:textId="77777777" w:rsidR="00B773D2" w:rsidRPr="005F2943" w:rsidRDefault="00B773D2" w:rsidP="00C53DEF">
      <w:pPr>
        <w:spacing w:after="0"/>
        <w:ind w:left="57" w:right="57"/>
        <w:jc w:val="both"/>
        <w:rPr>
          <w:rFonts w:eastAsia="Times New Roman" w:cs="Calibri"/>
          <w:b/>
          <w:lang w:eastAsia="cs-CZ"/>
        </w:rPr>
      </w:pPr>
      <w:bookmarkStart w:id="0" w:name="_Hlk521940117"/>
      <w:r w:rsidRPr="005F2943">
        <w:rPr>
          <w:rFonts w:eastAsia="Times New Roman" w:cs="Calibri"/>
          <w:b/>
          <w:lang w:eastAsia="cs-CZ"/>
        </w:rPr>
        <w:t>D) Informaci o účasti veřejnosti při zpracování koncepce a v procesu posuzování vlivů koncepce na životní prostředí</w:t>
      </w:r>
    </w:p>
    <w:bookmarkEnd w:id="0"/>
    <w:p w14:paraId="1F94109C" w14:textId="77777777" w:rsidR="006E240E" w:rsidRPr="005F2943" w:rsidRDefault="006E240E" w:rsidP="00C53DEF">
      <w:pPr>
        <w:spacing w:after="0"/>
        <w:ind w:left="57" w:right="57"/>
        <w:jc w:val="both"/>
        <w:rPr>
          <w:rFonts w:eastAsia="Times New Roman" w:cs="Calibri"/>
          <w:lang w:eastAsia="cs-CZ"/>
        </w:rPr>
      </w:pPr>
    </w:p>
    <w:p w14:paraId="0E4DFD2D" w14:textId="77777777" w:rsidR="00F6175A" w:rsidRPr="00425BF3" w:rsidRDefault="005B3727" w:rsidP="00CF030D">
      <w:pPr>
        <w:jc w:val="both"/>
      </w:pPr>
      <w:r w:rsidRPr="000479F9">
        <w:t>Koncepce</w:t>
      </w:r>
      <w:r w:rsidR="003C1032" w:rsidRPr="000479F9">
        <w:t xml:space="preserve"> byla zpracová</w:t>
      </w:r>
      <w:r w:rsidR="00462608" w:rsidRPr="000479F9">
        <w:t xml:space="preserve">na </w:t>
      </w:r>
      <w:r w:rsidR="00666CBA" w:rsidRPr="000479F9">
        <w:t xml:space="preserve">společností </w:t>
      </w:r>
      <w:proofErr w:type="spellStart"/>
      <w:r w:rsidR="00666CBA" w:rsidRPr="000479F9">
        <w:t>Moore</w:t>
      </w:r>
      <w:proofErr w:type="spellEnd"/>
      <w:r w:rsidR="00666CBA" w:rsidRPr="000479F9">
        <w:t xml:space="preserve"> Czech Republic s.r.o.</w:t>
      </w:r>
      <w:r w:rsidR="00C21C26" w:rsidRPr="000479F9">
        <w:t xml:space="preserve"> </w:t>
      </w:r>
      <w:r w:rsidRPr="000479F9">
        <w:rPr>
          <w:bCs/>
        </w:rPr>
        <w:t xml:space="preserve">Dokument </w:t>
      </w:r>
      <w:r w:rsidR="001C27B7" w:rsidRPr="000479F9">
        <w:t>„</w:t>
      </w:r>
      <w:r w:rsidR="00CC323F" w:rsidRPr="000479F9">
        <w:t>Program rozvoje Jihočeského kraje na období 2021-2027</w:t>
      </w:r>
      <w:r w:rsidR="001C27B7" w:rsidRPr="000479F9">
        <w:t xml:space="preserve">“ </w:t>
      </w:r>
      <w:r w:rsidR="001C27B7" w:rsidRPr="000479F9">
        <w:rPr>
          <w:bCs/>
        </w:rPr>
        <w:t xml:space="preserve">byl zpracováván </w:t>
      </w:r>
      <w:r w:rsidR="00612963" w:rsidRPr="000479F9">
        <w:t xml:space="preserve">dle principů strategického plánování rozvojových dokumentů se zapojením klíčových aktérů rozvoje do jeho přípravy, především </w:t>
      </w:r>
      <w:r w:rsidR="000479F9" w:rsidRPr="000479F9">
        <w:t xml:space="preserve">zapojením subjektů z veřejného, </w:t>
      </w:r>
      <w:r w:rsidR="000479F9" w:rsidRPr="00425BF3">
        <w:t>podnikatelského i neziskového sektoru kraje, regionálních pracovníků a pracovních skupin.</w:t>
      </w:r>
    </w:p>
    <w:p w14:paraId="60F66C48" w14:textId="77777777" w:rsidR="00462608" w:rsidRPr="002A5DB6" w:rsidRDefault="00612963" w:rsidP="00CF030D">
      <w:pPr>
        <w:jc w:val="both"/>
        <w:rPr>
          <w:rFonts w:asciiTheme="minorHAnsi" w:hAnsiTheme="minorHAnsi" w:cstheme="minorHAnsi"/>
        </w:rPr>
      </w:pPr>
      <w:r w:rsidRPr="00425BF3">
        <w:t>Veřejnost měla možnost zapojit se do projednávání koncepce v rámci Zjišťovacího řízení.</w:t>
      </w:r>
      <w:r w:rsidR="00462608" w:rsidRPr="00425BF3">
        <w:t xml:space="preserve"> Oznámení koncepce bylo v souladu s požadavkem odstavce 2, § 10</w:t>
      </w:r>
      <w:r w:rsidR="00533DD2" w:rsidRPr="00425BF3">
        <w:t xml:space="preserve"> </w:t>
      </w:r>
      <w:r w:rsidR="00462608" w:rsidRPr="00425BF3">
        <w:t xml:space="preserve">c) citovaného zákona příslušným úřadem </w:t>
      </w:r>
      <w:r w:rsidR="009A7603" w:rsidRPr="00425BF3">
        <w:t xml:space="preserve">zveřejněno a </w:t>
      </w:r>
      <w:r w:rsidR="00462608" w:rsidRPr="00425BF3">
        <w:t xml:space="preserve">zasláno dotčeným </w:t>
      </w:r>
      <w:r w:rsidR="009A7603" w:rsidRPr="00425BF3">
        <w:t xml:space="preserve">orgánům </w:t>
      </w:r>
      <w:r w:rsidR="002A38C0" w:rsidRPr="00425BF3">
        <w:t>a </w:t>
      </w:r>
      <w:r w:rsidR="00462608" w:rsidRPr="00425BF3">
        <w:t xml:space="preserve">dotčeným územním samosprávným celkům. Na základě vyjádření doručených k Oznámení byl Krajským úřadem </w:t>
      </w:r>
      <w:r w:rsidR="00425BF3" w:rsidRPr="00425BF3">
        <w:t>Jihočeského</w:t>
      </w:r>
      <w:r w:rsidR="002A38C0" w:rsidRPr="00425BF3">
        <w:t xml:space="preserve"> kraje vydán </w:t>
      </w:r>
      <w:r w:rsidR="00425BF3" w:rsidRPr="00425BF3">
        <w:t>19. 12</w:t>
      </w:r>
      <w:r w:rsidR="00462608" w:rsidRPr="00425BF3">
        <w:t>. 201</w:t>
      </w:r>
      <w:r w:rsidR="005B3727" w:rsidRPr="00425BF3">
        <w:t>9</w:t>
      </w:r>
      <w:r w:rsidR="00462608" w:rsidRPr="00425BF3">
        <w:t xml:space="preserve"> Závěr zjišťovacího řízení, který mimo jiné stanovil obsah a rozsah Vyhodnocení v rozsahu základních zákonných požadavků, daných </w:t>
      </w:r>
      <w:r w:rsidR="00462608" w:rsidRPr="002A5DB6">
        <w:t>§ 2 a 10</w:t>
      </w:r>
      <w:r w:rsidR="00533DD2" w:rsidRPr="002A5DB6">
        <w:t xml:space="preserve"> </w:t>
      </w:r>
      <w:r w:rsidR="00462608" w:rsidRPr="002A5DB6">
        <w:t xml:space="preserve">b) a přílohou č. 9 </w:t>
      </w:r>
      <w:r w:rsidR="00462608" w:rsidRPr="002A5DB6">
        <w:rPr>
          <w:rFonts w:asciiTheme="minorHAnsi" w:hAnsiTheme="minorHAnsi" w:cstheme="minorHAnsi"/>
        </w:rPr>
        <w:t>zákona</w:t>
      </w:r>
      <w:r w:rsidR="007E2FC9" w:rsidRPr="002A5DB6">
        <w:rPr>
          <w:rFonts w:asciiTheme="minorHAnsi" w:hAnsiTheme="minorHAnsi" w:cstheme="minorHAnsi"/>
        </w:rPr>
        <w:t xml:space="preserve"> a v</w:t>
      </w:r>
      <w:r w:rsidR="005B3727" w:rsidRPr="002A5DB6">
        <w:rPr>
          <w:rFonts w:asciiTheme="minorHAnsi" w:hAnsiTheme="minorHAnsi" w:cstheme="minorHAnsi"/>
        </w:rPr>
        <w:t> </w:t>
      </w:r>
      <w:r w:rsidR="00462608" w:rsidRPr="002A5DB6">
        <w:rPr>
          <w:rFonts w:asciiTheme="minorHAnsi" w:hAnsiTheme="minorHAnsi" w:cstheme="minorHAnsi"/>
        </w:rPr>
        <w:t>souladu s požadavky zákona byl tento dokument zveřejněn.</w:t>
      </w:r>
    </w:p>
    <w:p w14:paraId="68A4E430" w14:textId="77777777" w:rsidR="00F6175A" w:rsidRPr="00D660AA" w:rsidRDefault="007E4326" w:rsidP="00CF030D">
      <w:pPr>
        <w:jc w:val="both"/>
        <w:rPr>
          <w:rFonts w:asciiTheme="minorHAnsi" w:hAnsiTheme="minorHAnsi" w:cstheme="minorHAnsi"/>
        </w:rPr>
      </w:pPr>
      <w:r w:rsidRPr="002A5DB6">
        <w:t xml:space="preserve">Veřejnost měla možnost vyjádřit se ke zveřejněnému návrhu koncepce a jejímu Vyhodnocení od doby jeho zveřejnění dne </w:t>
      </w:r>
      <w:r w:rsidR="00960368" w:rsidRPr="002A5DB6">
        <w:t>29. 4</w:t>
      </w:r>
      <w:r w:rsidRPr="002A5DB6">
        <w:t xml:space="preserve">. 2020 do </w:t>
      </w:r>
      <w:r w:rsidR="00960368" w:rsidRPr="002A5DB6">
        <w:t>19. 5</w:t>
      </w:r>
      <w:r w:rsidR="00BD0415" w:rsidRPr="002A5DB6">
        <w:t>. 2020</w:t>
      </w:r>
      <w:r w:rsidRPr="002A5DB6">
        <w:t xml:space="preserve">. </w:t>
      </w:r>
      <w:r w:rsidR="002A5DB6" w:rsidRPr="002A5DB6">
        <w:t>Na základě předloženého návrhu koncepce, vyjádření obdržených k oznámení této koncepce a s</w:t>
      </w:r>
      <w:r w:rsidR="002A5DB6">
        <w:t> </w:t>
      </w:r>
      <w:r w:rsidR="002A5DB6" w:rsidRPr="002A5DB6">
        <w:t>přihlédnutím</w:t>
      </w:r>
      <w:r w:rsidR="002A5DB6">
        <w:t xml:space="preserve"> </w:t>
      </w:r>
      <w:r w:rsidR="002A5DB6" w:rsidRPr="002A5DB6">
        <w:t xml:space="preserve">k nouzovému stavu a opatřením přijatým kvůli pandemii COVID-19 </w:t>
      </w:r>
      <w:r w:rsidR="00612963" w:rsidRPr="002A5DB6">
        <w:rPr>
          <w:rFonts w:asciiTheme="minorHAnsi" w:hAnsiTheme="minorHAnsi" w:cstheme="minorHAnsi"/>
        </w:rPr>
        <w:t xml:space="preserve">upustil krajský </w:t>
      </w:r>
      <w:r w:rsidR="00612963" w:rsidRPr="00D660AA">
        <w:rPr>
          <w:rFonts w:asciiTheme="minorHAnsi" w:hAnsiTheme="minorHAnsi" w:cstheme="minorHAnsi"/>
        </w:rPr>
        <w:t>úřad v souladu s § 10f odst. 2 zákona od konání veřejného projednání návrhu koncepce</w:t>
      </w:r>
      <w:r w:rsidR="007E2FC9" w:rsidRPr="00D660AA">
        <w:rPr>
          <w:rFonts w:asciiTheme="minorHAnsi" w:hAnsiTheme="minorHAnsi" w:cstheme="minorHAnsi"/>
        </w:rPr>
        <w:t xml:space="preserve"> a veřejné projednání se tak nekonalo</w:t>
      </w:r>
      <w:r w:rsidR="00612963" w:rsidRPr="00D660AA">
        <w:rPr>
          <w:rFonts w:asciiTheme="minorHAnsi" w:hAnsiTheme="minorHAnsi" w:cstheme="minorHAnsi"/>
          <w:sz w:val="24"/>
          <w:szCs w:val="24"/>
        </w:rPr>
        <w:t>.</w:t>
      </w:r>
    </w:p>
    <w:p w14:paraId="18D30412" w14:textId="77777777" w:rsidR="00B708BC" w:rsidRPr="00D660AA" w:rsidRDefault="006B4E4F" w:rsidP="00CF030D">
      <w:pPr>
        <w:spacing w:after="0"/>
        <w:jc w:val="both"/>
        <w:rPr>
          <w:rFonts w:asciiTheme="minorHAnsi" w:hAnsiTheme="minorHAnsi" w:cstheme="minorHAnsi"/>
        </w:rPr>
      </w:pPr>
      <w:r w:rsidRPr="00D660AA">
        <w:rPr>
          <w:rFonts w:asciiTheme="minorHAnsi" w:hAnsiTheme="minorHAnsi" w:cstheme="minorHAnsi"/>
        </w:rPr>
        <w:t xml:space="preserve">Návrh koncepce a Vyhodnocení vlivů na ŽP pak </w:t>
      </w:r>
      <w:r w:rsidR="00B708BC" w:rsidRPr="00D660AA">
        <w:rPr>
          <w:rFonts w:asciiTheme="minorHAnsi" w:hAnsiTheme="minorHAnsi" w:cstheme="minorHAnsi"/>
        </w:rPr>
        <w:t xml:space="preserve">byly zveřejněny </w:t>
      </w:r>
      <w:r w:rsidR="002A38C0" w:rsidRPr="00D660AA">
        <w:rPr>
          <w:rFonts w:asciiTheme="minorHAnsi" w:hAnsiTheme="minorHAnsi" w:cstheme="minorHAnsi"/>
        </w:rPr>
        <w:t>v</w:t>
      </w:r>
      <w:r w:rsidR="00B8340A" w:rsidRPr="00D660AA">
        <w:rPr>
          <w:rFonts w:asciiTheme="minorHAnsi" w:hAnsiTheme="minorHAnsi" w:cstheme="minorHAnsi"/>
        </w:rPr>
        <w:t xml:space="preserve"> I</w:t>
      </w:r>
      <w:r w:rsidR="00B708BC" w:rsidRPr="00D660AA">
        <w:rPr>
          <w:rFonts w:asciiTheme="minorHAnsi" w:hAnsiTheme="minorHAnsi" w:cstheme="minorHAnsi"/>
        </w:rPr>
        <w:t>nformační</w:t>
      </w:r>
      <w:r w:rsidR="009A7603" w:rsidRPr="00D660AA">
        <w:rPr>
          <w:rFonts w:asciiTheme="minorHAnsi" w:hAnsiTheme="minorHAnsi" w:cstheme="minorHAnsi"/>
        </w:rPr>
        <w:t>m</w:t>
      </w:r>
      <w:r w:rsidR="00B708BC" w:rsidRPr="00D660AA">
        <w:rPr>
          <w:rFonts w:asciiTheme="minorHAnsi" w:hAnsiTheme="minorHAnsi" w:cstheme="minorHAnsi"/>
        </w:rPr>
        <w:t xml:space="preserve"> systému</w:t>
      </w:r>
      <w:r w:rsidR="00833C7E" w:rsidRPr="00D660AA">
        <w:rPr>
          <w:rFonts w:asciiTheme="minorHAnsi" w:hAnsiTheme="minorHAnsi" w:cstheme="minorHAnsi"/>
        </w:rPr>
        <w:t xml:space="preserve"> SEA</w:t>
      </w:r>
      <w:r w:rsidR="00D660AA" w:rsidRPr="00D660AA">
        <w:t xml:space="preserve"> a </w:t>
      </w:r>
      <w:r w:rsidR="006B59B5" w:rsidRPr="00D660AA">
        <w:t xml:space="preserve">informace o možnostech </w:t>
      </w:r>
      <w:r w:rsidRPr="00D660AA">
        <w:t xml:space="preserve">jejich </w:t>
      </w:r>
      <w:r w:rsidR="006B59B5" w:rsidRPr="00D660AA">
        <w:t xml:space="preserve">připomínkování také na </w:t>
      </w:r>
      <w:r w:rsidR="001C27B7" w:rsidRPr="00D660AA">
        <w:t xml:space="preserve">webu </w:t>
      </w:r>
      <w:r w:rsidR="00D660AA" w:rsidRPr="00D660AA">
        <w:t>Jihočeského</w:t>
      </w:r>
      <w:r w:rsidR="00612963" w:rsidRPr="00D660AA">
        <w:t xml:space="preserve"> kraje</w:t>
      </w:r>
      <w:r w:rsidR="00833C7E" w:rsidRPr="00D660AA">
        <w:t>.</w:t>
      </w:r>
    </w:p>
    <w:p w14:paraId="724FD8F7" w14:textId="77777777" w:rsidR="00B773D2" w:rsidRPr="00D660AA" w:rsidRDefault="00B773D2" w:rsidP="00CF030D">
      <w:pPr>
        <w:spacing w:after="0"/>
        <w:ind w:right="57"/>
        <w:jc w:val="both"/>
        <w:rPr>
          <w:rFonts w:eastAsia="Times New Roman" w:cs="Calibri"/>
          <w:lang w:eastAsia="cs-CZ"/>
        </w:rPr>
      </w:pPr>
    </w:p>
    <w:p w14:paraId="7C435EEF" w14:textId="77777777" w:rsidR="00B773D2" w:rsidRPr="00B0353E" w:rsidRDefault="00612963" w:rsidP="00C53DEF">
      <w:pPr>
        <w:spacing w:after="0"/>
        <w:ind w:left="57" w:right="57"/>
        <w:jc w:val="both"/>
        <w:rPr>
          <w:rFonts w:eastAsia="Times New Roman" w:cs="Calibri"/>
          <w:b/>
          <w:lang w:eastAsia="cs-CZ"/>
        </w:rPr>
      </w:pPr>
      <w:r w:rsidRPr="00D660AA">
        <w:rPr>
          <w:rFonts w:eastAsia="Times New Roman" w:cs="Calibri"/>
          <w:b/>
          <w:lang w:eastAsia="cs-CZ"/>
        </w:rPr>
        <w:t>E)</w:t>
      </w:r>
      <w:r w:rsidR="00B773D2" w:rsidRPr="00D660AA">
        <w:rPr>
          <w:rFonts w:eastAsia="Times New Roman" w:cs="Calibri"/>
          <w:b/>
          <w:lang w:eastAsia="cs-CZ"/>
        </w:rPr>
        <w:t xml:space="preserve"> Informaci o přijatých opatřeních pro zajištění sledování a rozboru vlivů koncepce na životní </w:t>
      </w:r>
      <w:r w:rsidR="00B773D2" w:rsidRPr="00B0353E">
        <w:rPr>
          <w:rFonts w:eastAsia="Times New Roman" w:cs="Calibri"/>
          <w:b/>
          <w:lang w:eastAsia="cs-CZ"/>
        </w:rPr>
        <w:t>prostředí a veřejné zdraví podle § 10h.</w:t>
      </w:r>
    </w:p>
    <w:p w14:paraId="3F9DE38C" w14:textId="77777777" w:rsidR="00B773D2" w:rsidRPr="00B0353E" w:rsidRDefault="00B773D2" w:rsidP="00C53DEF">
      <w:pPr>
        <w:autoSpaceDE w:val="0"/>
        <w:autoSpaceDN w:val="0"/>
        <w:adjustRightInd w:val="0"/>
        <w:spacing w:after="0"/>
        <w:ind w:left="57" w:right="57"/>
        <w:jc w:val="both"/>
        <w:rPr>
          <w:rFonts w:cs="Calibri"/>
        </w:rPr>
      </w:pPr>
    </w:p>
    <w:p w14:paraId="272F3AEB" w14:textId="77777777" w:rsidR="00900FB3" w:rsidRPr="00CF030D" w:rsidRDefault="00612963" w:rsidP="00CF030D">
      <w:pPr>
        <w:jc w:val="both"/>
      </w:pPr>
      <w:r w:rsidRPr="00B0353E">
        <w:t xml:space="preserve">Zajistit a zveřejnit opatření pro sledování a rozbor vlivů koncepce na životní prostředí a veřejné zdraví vyplývá z § 10 h) zákona o </w:t>
      </w:r>
      <w:r w:rsidRPr="00D12F79">
        <w:t xml:space="preserve">posuzování vlivů na životní prostředí. </w:t>
      </w:r>
      <w:r w:rsidR="00B0353E" w:rsidRPr="00D12F79">
        <w:t>Jihočeský</w:t>
      </w:r>
      <w:r w:rsidR="00F6175A" w:rsidRPr="00D12F79">
        <w:t xml:space="preserve"> </w:t>
      </w:r>
      <w:r w:rsidRPr="00D12F79">
        <w:t>kraj jako předkladatel koncepce „</w:t>
      </w:r>
      <w:r w:rsidR="00B0353E" w:rsidRPr="00D12F79">
        <w:t>Program rozvoje Jihočeského kraje na období 2021-2027</w:t>
      </w:r>
      <w:r w:rsidRPr="00D12F79">
        <w:t xml:space="preserve">“ bude 1 x za rok (od roku 2021), vyhodnocovat vliv provádění uvedené koncepce na životní prostředí a veřejné zdraví. Provádění koncepce, především vlivy zařazených projektů na životní prostředí a veřejné zdraví, bude hodnoceno </w:t>
      </w:r>
      <w:r w:rsidRPr="00D12F79">
        <w:lastRenderedPageBreak/>
        <w:t xml:space="preserve">na základě požadavků </w:t>
      </w:r>
      <w:r w:rsidRPr="00CF030D">
        <w:t xml:space="preserve">stanoviska příslušného úřadu k Vyhodnocení koncepce </w:t>
      </w:r>
      <w:r w:rsidR="00D12F79" w:rsidRPr="00CF030D">
        <w:t>na základě uvedených indikátorů</w:t>
      </w:r>
      <w:r w:rsidRPr="00CF030D">
        <w:t xml:space="preserve"> (viz kap. 9 Vyhodnocení). Monitoring naváže na rozhodování o podpoře a výběru projektů dle environmentálních kritérií, tak jak byly taktéž stanoveny v rámci dokumentu Vyhodnocení. </w:t>
      </w:r>
      <w:r w:rsidR="00CF030D" w:rsidRPr="00CF030D">
        <w:t>V</w:t>
      </w:r>
      <w:r w:rsidRPr="00CF030D">
        <w:t xml:space="preserve">ýsledky pravidelného monitoringu budou předkládány vedení </w:t>
      </w:r>
      <w:r w:rsidR="00900FB3" w:rsidRPr="00CF030D">
        <w:t>Jihočeského</w:t>
      </w:r>
      <w:r w:rsidRPr="00CF030D">
        <w:t xml:space="preserve"> kraje a zveřejňovány na Internetových stránkách kraje v sekci, kde je zveřejněna samotná koncepce. </w:t>
      </w:r>
    </w:p>
    <w:p w14:paraId="59F400AB" w14:textId="77777777" w:rsidR="00374DF4" w:rsidRPr="008159A8" w:rsidRDefault="00612963" w:rsidP="00CF030D">
      <w:pPr>
        <w:jc w:val="both"/>
      </w:pPr>
      <w:r w:rsidRPr="00CF030D">
        <w:t xml:space="preserve">Pokud bude </w:t>
      </w:r>
      <w:r w:rsidRPr="008159A8">
        <w:t>zjištěno, že provádění koncepce má nepředvídané významné negativní vlivy na životní prostředí nebo veřejné zdraví, bude zajištěno přijetí opatření k odvrácení nebo zmírnění takových vlivů, informování příslušného úřadu a dotčených orgánů a současně bude rozhodnuto o změně koncepce.</w:t>
      </w:r>
      <w:r w:rsidR="004C45AE" w:rsidRPr="008159A8">
        <w:t xml:space="preserve"> </w:t>
      </w:r>
    </w:p>
    <w:p w14:paraId="00CA7BEA" w14:textId="77777777" w:rsidR="00374DF4" w:rsidRPr="00857666" w:rsidRDefault="00612963" w:rsidP="00CF030D">
      <w:pPr>
        <w:jc w:val="both"/>
      </w:pPr>
      <w:r w:rsidRPr="008159A8">
        <w:t xml:space="preserve">V souvislosti s návrhem indikátorů je potřeba zmínit, že samotná </w:t>
      </w:r>
      <w:r w:rsidR="008159A8" w:rsidRPr="008159A8">
        <w:t>koncepce</w:t>
      </w:r>
      <w:r w:rsidRPr="008159A8">
        <w:t xml:space="preserve"> navrhuje vlastní indikátory, prostřednictvím kterých budou monitorovány cíle </w:t>
      </w:r>
      <w:r w:rsidR="008159A8" w:rsidRPr="008159A8">
        <w:t>koncepce</w:t>
      </w:r>
      <w:r w:rsidRPr="008159A8">
        <w:t xml:space="preserve">. </w:t>
      </w:r>
      <w:r w:rsidR="007A0953">
        <w:t>I</w:t>
      </w:r>
      <w:r w:rsidRPr="008159A8">
        <w:t>ndikátory zaměřen</w:t>
      </w:r>
      <w:r w:rsidR="007A0953">
        <w:t>é</w:t>
      </w:r>
      <w:r w:rsidRPr="008159A8">
        <w:t xml:space="preserve"> na oblast životního prostředí</w:t>
      </w:r>
      <w:r w:rsidR="006B4E4F" w:rsidRPr="008159A8">
        <w:t xml:space="preserve"> </w:t>
      </w:r>
      <w:r w:rsidR="007A0953">
        <w:t xml:space="preserve">budou využity </w:t>
      </w:r>
      <w:r w:rsidRPr="008159A8">
        <w:t xml:space="preserve">a </w:t>
      </w:r>
      <w:r w:rsidR="006B4E4F" w:rsidRPr="008159A8">
        <w:t xml:space="preserve">pro účely monitorování dle výše uvedených požadavků zákona budou doplněny </w:t>
      </w:r>
      <w:r w:rsidR="007A0953">
        <w:t xml:space="preserve">o </w:t>
      </w:r>
      <w:r w:rsidR="006B4E4F" w:rsidRPr="008159A8">
        <w:t>indikátory vycházejícími z </w:t>
      </w:r>
      <w:r w:rsidRPr="008159A8">
        <w:t>Vyhodnocení</w:t>
      </w:r>
      <w:r w:rsidR="006B4E4F" w:rsidRPr="008159A8">
        <w:t xml:space="preserve"> vlivů koncepce na ŽP.</w:t>
      </w:r>
      <w:r w:rsidR="00374DF4" w:rsidRPr="004C5E13">
        <w:t xml:space="preserve"> </w:t>
      </w:r>
    </w:p>
    <w:sectPr w:rsidR="00374DF4" w:rsidRPr="00857666" w:rsidSect="005763B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6C9"/>
    <w:multiLevelType w:val="hybridMultilevel"/>
    <w:tmpl w:val="F4003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6A57"/>
    <w:multiLevelType w:val="hybridMultilevel"/>
    <w:tmpl w:val="A1C20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83843"/>
    <w:multiLevelType w:val="hybridMultilevel"/>
    <w:tmpl w:val="B6B0F2E2"/>
    <w:lvl w:ilvl="0" w:tplc="04050011">
      <w:start w:val="2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13C07"/>
    <w:multiLevelType w:val="hybridMultilevel"/>
    <w:tmpl w:val="1A9E9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C4A1F"/>
    <w:multiLevelType w:val="hybridMultilevel"/>
    <w:tmpl w:val="8DB62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34B99"/>
    <w:multiLevelType w:val="hybridMultilevel"/>
    <w:tmpl w:val="7FDC7F14"/>
    <w:lvl w:ilvl="0" w:tplc="466045EA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10692"/>
    <w:multiLevelType w:val="hybridMultilevel"/>
    <w:tmpl w:val="119E2A2C"/>
    <w:lvl w:ilvl="0" w:tplc="A90EE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50C22"/>
    <w:multiLevelType w:val="hybridMultilevel"/>
    <w:tmpl w:val="37E0E900"/>
    <w:lvl w:ilvl="0" w:tplc="6374EF76">
      <w:start w:val="1"/>
      <w:numFmt w:val="decimal"/>
      <w:lvlText w:val="%1)"/>
      <w:lvlJc w:val="left"/>
      <w:pPr>
        <w:ind w:left="4187" w:hanging="360"/>
      </w:pPr>
    </w:lvl>
    <w:lvl w:ilvl="1" w:tplc="04050019" w:tentative="1">
      <w:start w:val="1"/>
      <w:numFmt w:val="lowerLetter"/>
      <w:lvlText w:val="%2."/>
      <w:lvlJc w:val="left"/>
      <w:pPr>
        <w:ind w:left="4907" w:hanging="360"/>
      </w:pPr>
    </w:lvl>
    <w:lvl w:ilvl="2" w:tplc="0405001B" w:tentative="1">
      <w:start w:val="1"/>
      <w:numFmt w:val="lowerRoman"/>
      <w:lvlText w:val="%3."/>
      <w:lvlJc w:val="right"/>
      <w:pPr>
        <w:ind w:left="5627" w:hanging="180"/>
      </w:pPr>
    </w:lvl>
    <w:lvl w:ilvl="3" w:tplc="0405000F" w:tentative="1">
      <w:start w:val="1"/>
      <w:numFmt w:val="decimal"/>
      <w:lvlText w:val="%4."/>
      <w:lvlJc w:val="left"/>
      <w:pPr>
        <w:ind w:left="6347" w:hanging="360"/>
      </w:pPr>
    </w:lvl>
    <w:lvl w:ilvl="4" w:tplc="04050019" w:tentative="1">
      <w:start w:val="1"/>
      <w:numFmt w:val="lowerLetter"/>
      <w:lvlText w:val="%5."/>
      <w:lvlJc w:val="left"/>
      <w:pPr>
        <w:ind w:left="7067" w:hanging="360"/>
      </w:pPr>
    </w:lvl>
    <w:lvl w:ilvl="5" w:tplc="0405001B" w:tentative="1">
      <w:start w:val="1"/>
      <w:numFmt w:val="lowerRoman"/>
      <w:lvlText w:val="%6."/>
      <w:lvlJc w:val="right"/>
      <w:pPr>
        <w:ind w:left="7787" w:hanging="180"/>
      </w:pPr>
    </w:lvl>
    <w:lvl w:ilvl="6" w:tplc="0405000F" w:tentative="1">
      <w:start w:val="1"/>
      <w:numFmt w:val="decimal"/>
      <w:lvlText w:val="%7."/>
      <w:lvlJc w:val="left"/>
      <w:pPr>
        <w:ind w:left="8507" w:hanging="360"/>
      </w:pPr>
    </w:lvl>
    <w:lvl w:ilvl="7" w:tplc="04050019" w:tentative="1">
      <w:start w:val="1"/>
      <w:numFmt w:val="lowerLetter"/>
      <w:lvlText w:val="%8."/>
      <w:lvlJc w:val="left"/>
      <w:pPr>
        <w:ind w:left="9227" w:hanging="360"/>
      </w:pPr>
    </w:lvl>
    <w:lvl w:ilvl="8" w:tplc="0405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8" w15:restartNumberingAfterBreak="0">
    <w:nsid w:val="4C2745A3"/>
    <w:multiLevelType w:val="hybridMultilevel"/>
    <w:tmpl w:val="E9668024"/>
    <w:lvl w:ilvl="0" w:tplc="821048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51F85C25"/>
    <w:multiLevelType w:val="hybridMultilevel"/>
    <w:tmpl w:val="6652D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D0537"/>
    <w:multiLevelType w:val="hybridMultilevel"/>
    <w:tmpl w:val="9EAE2728"/>
    <w:lvl w:ilvl="0" w:tplc="28DCD178">
      <w:start w:val="3"/>
      <w:numFmt w:val="bullet"/>
      <w:lvlText w:val="•"/>
      <w:lvlJc w:val="left"/>
      <w:pPr>
        <w:ind w:left="705" w:hanging="648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734613D5"/>
    <w:multiLevelType w:val="hybridMultilevel"/>
    <w:tmpl w:val="ED92B8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F129D"/>
    <w:multiLevelType w:val="hybridMultilevel"/>
    <w:tmpl w:val="7236E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5698F"/>
    <w:multiLevelType w:val="hybridMultilevel"/>
    <w:tmpl w:val="CCD248B4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79F62DFD"/>
    <w:multiLevelType w:val="hybridMultilevel"/>
    <w:tmpl w:val="A2CE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74D5C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F0B11"/>
    <w:multiLevelType w:val="hybridMultilevel"/>
    <w:tmpl w:val="990012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3"/>
  </w:num>
  <w:num w:numId="5">
    <w:abstractNumId w:val="10"/>
  </w:num>
  <w:num w:numId="6">
    <w:abstractNumId w:val="12"/>
  </w:num>
  <w:num w:numId="7">
    <w:abstractNumId w:val="4"/>
  </w:num>
  <w:num w:numId="8">
    <w:abstractNumId w:val="14"/>
  </w:num>
  <w:num w:numId="9">
    <w:abstractNumId w:val="1"/>
  </w:num>
  <w:num w:numId="10">
    <w:abstractNumId w:val="0"/>
  </w:num>
  <w:num w:numId="11">
    <w:abstractNumId w:val="6"/>
  </w:num>
  <w:num w:numId="12">
    <w:abstractNumId w:val="3"/>
  </w:num>
  <w:num w:numId="13">
    <w:abstractNumId w:val="7"/>
  </w:num>
  <w:num w:numId="14">
    <w:abstractNumId w:val="5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70"/>
    <w:rsid w:val="00002057"/>
    <w:rsid w:val="00005045"/>
    <w:rsid w:val="00017A7F"/>
    <w:rsid w:val="00020F6B"/>
    <w:rsid w:val="00031625"/>
    <w:rsid w:val="00035EE2"/>
    <w:rsid w:val="000479F9"/>
    <w:rsid w:val="00053375"/>
    <w:rsid w:val="00055F33"/>
    <w:rsid w:val="000614A7"/>
    <w:rsid w:val="00062D70"/>
    <w:rsid w:val="00065FCB"/>
    <w:rsid w:val="000726F6"/>
    <w:rsid w:val="000744C3"/>
    <w:rsid w:val="00084C8A"/>
    <w:rsid w:val="00084E79"/>
    <w:rsid w:val="00085FB5"/>
    <w:rsid w:val="00087C34"/>
    <w:rsid w:val="000913F7"/>
    <w:rsid w:val="00091403"/>
    <w:rsid w:val="00095765"/>
    <w:rsid w:val="000A264E"/>
    <w:rsid w:val="000A6866"/>
    <w:rsid w:val="000C5EAE"/>
    <w:rsid w:val="000C6360"/>
    <w:rsid w:val="000D587D"/>
    <w:rsid w:val="000D7C6E"/>
    <w:rsid w:val="000F4962"/>
    <w:rsid w:val="000F607E"/>
    <w:rsid w:val="000F7DAB"/>
    <w:rsid w:val="0010183A"/>
    <w:rsid w:val="0011643A"/>
    <w:rsid w:val="00122060"/>
    <w:rsid w:val="00131383"/>
    <w:rsid w:val="00131501"/>
    <w:rsid w:val="00131DB6"/>
    <w:rsid w:val="00134654"/>
    <w:rsid w:val="00136D2B"/>
    <w:rsid w:val="001509FE"/>
    <w:rsid w:val="001519B1"/>
    <w:rsid w:val="00154973"/>
    <w:rsid w:val="00162270"/>
    <w:rsid w:val="00183DFD"/>
    <w:rsid w:val="0019424E"/>
    <w:rsid w:val="001A0A4B"/>
    <w:rsid w:val="001B1392"/>
    <w:rsid w:val="001B2BF7"/>
    <w:rsid w:val="001B40B2"/>
    <w:rsid w:val="001C27B7"/>
    <w:rsid w:val="001C31C7"/>
    <w:rsid w:val="001C7939"/>
    <w:rsid w:val="001D06E9"/>
    <w:rsid w:val="001D723B"/>
    <w:rsid w:val="001E6A4C"/>
    <w:rsid w:val="00200E67"/>
    <w:rsid w:val="00201F8A"/>
    <w:rsid w:val="00222F29"/>
    <w:rsid w:val="00224E33"/>
    <w:rsid w:val="00224FDA"/>
    <w:rsid w:val="00226201"/>
    <w:rsid w:val="00226EEE"/>
    <w:rsid w:val="00230DD6"/>
    <w:rsid w:val="00236B7D"/>
    <w:rsid w:val="002433B7"/>
    <w:rsid w:val="002459E4"/>
    <w:rsid w:val="00251392"/>
    <w:rsid w:val="00251FC1"/>
    <w:rsid w:val="00252F1B"/>
    <w:rsid w:val="00254711"/>
    <w:rsid w:val="0025710A"/>
    <w:rsid w:val="00257406"/>
    <w:rsid w:val="002624E9"/>
    <w:rsid w:val="00270E73"/>
    <w:rsid w:val="00271E9A"/>
    <w:rsid w:val="0027517A"/>
    <w:rsid w:val="0028409C"/>
    <w:rsid w:val="002919D4"/>
    <w:rsid w:val="00294BFC"/>
    <w:rsid w:val="00295C28"/>
    <w:rsid w:val="002A17CF"/>
    <w:rsid w:val="002A38C0"/>
    <w:rsid w:val="002A3D9B"/>
    <w:rsid w:val="002A5C81"/>
    <w:rsid w:val="002A5DB6"/>
    <w:rsid w:val="002C6FDC"/>
    <w:rsid w:val="002C7C44"/>
    <w:rsid w:val="002E5421"/>
    <w:rsid w:val="002F50C6"/>
    <w:rsid w:val="002F5A62"/>
    <w:rsid w:val="002F5BC3"/>
    <w:rsid w:val="003063D7"/>
    <w:rsid w:val="0031352C"/>
    <w:rsid w:val="00320815"/>
    <w:rsid w:val="00340404"/>
    <w:rsid w:val="00340C95"/>
    <w:rsid w:val="003500D4"/>
    <w:rsid w:val="00351350"/>
    <w:rsid w:val="00351D17"/>
    <w:rsid w:val="00354060"/>
    <w:rsid w:val="00356EAE"/>
    <w:rsid w:val="00363235"/>
    <w:rsid w:val="00364B5D"/>
    <w:rsid w:val="003659FC"/>
    <w:rsid w:val="00374DF4"/>
    <w:rsid w:val="003A7198"/>
    <w:rsid w:val="003B2FC1"/>
    <w:rsid w:val="003B4AA2"/>
    <w:rsid w:val="003B5A6B"/>
    <w:rsid w:val="003B791B"/>
    <w:rsid w:val="003C1032"/>
    <w:rsid w:val="003C3986"/>
    <w:rsid w:val="003D5207"/>
    <w:rsid w:val="003E5032"/>
    <w:rsid w:val="003F1EF5"/>
    <w:rsid w:val="003F7F61"/>
    <w:rsid w:val="00402CDC"/>
    <w:rsid w:val="0040416F"/>
    <w:rsid w:val="00404E5A"/>
    <w:rsid w:val="00406AC7"/>
    <w:rsid w:val="004221FE"/>
    <w:rsid w:val="00425BF3"/>
    <w:rsid w:val="00426810"/>
    <w:rsid w:val="004310C1"/>
    <w:rsid w:val="00440C3A"/>
    <w:rsid w:val="00444DBA"/>
    <w:rsid w:val="00444EBB"/>
    <w:rsid w:val="004464B6"/>
    <w:rsid w:val="00446F3A"/>
    <w:rsid w:val="00453322"/>
    <w:rsid w:val="00462608"/>
    <w:rsid w:val="004726DC"/>
    <w:rsid w:val="004770C7"/>
    <w:rsid w:val="004928ED"/>
    <w:rsid w:val="00494599"/>
    <w:rsid w:val="00494832"/>
    <w:rsid w:val="004A3BA2"/>
    <w:rsid w:val="004A5D68"/>
    <w:rsid w:val="004A6802"/>
    <w:rsid w:val="004B2096"/>
    <w:rsid w:val="004C19EE"/>
    <w:rsid w:val="004C45AE"/>
    <w:rsid w:val="004C5E13"/>
    <w:rsid w:val="004D2786"/>
    <w:rsid w:val="004E12B1"/>
    <w:rsid w:val="004E6FD7"/>
    <w:rsid w:val="004F1A4F"/>
    <w:rsid w:val="004F5A98"/>
    <w:rsid w:val="00506208"/>
    <w:rsid w:val="00506E25"/>
    <w:rsid w:val="00507931"/>
    <w:rsid w:val="00513CF3"/>
    <w:rsid w:val="00520CB9"/>
    <w:rsid w:val="00523E42"/>
    <w:rsid w:val="0052703A"/>
    <w:rsid w:val="00533DD2"/>
    <w:rsid w:val="00543431"/>
    <w:rsid w:val="00544039"/>
    <w:rsid w:val="0055037D"/>
    <w:rsid w:val="00553873"/>
    <w:rsid w:val="00554B61"/>
    <w:rsid w:val="00561748"/>
    <w:rsid w:val="00562383"/>
    <w:rsid w:val="00564F9E"/>
    <w:rsid w:val="00566F3D"/>
    <w:rsid w:val="005763B2"/>
    <w:rsid w:val="0059304E"/>
    <w:rsid w:val="00593152"/>
    <w:rsid w:val="00595D82"/>
    <w:rsid w:val="005A1257"/>
    <w:rsid w:val="005A2F99"/>
    <w:rsid w:val="005A4993"/>
    <w:rsid w:val="005B0582"/>
    <w:rsid w:val="005B3727"/>
    <w:rsid w:val="005B6690"/>
    <w:rsid w:val="005B6B8A"/>
    <w:rsid w:val="005D2F18"/>
    <w:rsid w:val="005D4880"/>
    <w:rsid w:val="005F118E"/>
    <w:rsid w:val="005F2943"/>
    <w:rsid w:val="005F7C22"/>
    <w:rsid w:val="00603030"/>
    <w:rsid w:val="00605B25"/>
    <w:rsid w:val="00612963"/>
    <w:rsid w:val="00614D4D"/>
    <w:rsid w:val="00616769"/>
    <w:rsid w:val="00631ACD"/>
    <w:rsid w:val="00641BFF"/>
    <w:rsid w:val="00643F31"/>
    <w:rsid w:val="0065314B"/>
    <w:rsid w:val="00666CBA"/>
    <w:rsid w:val="00670F34"/>
    <w:rsid w:val="0067112C"/>
    <w:rsid w:val="00672CC5"/>
    <w:rsid w:val="00674A01"/>
    <w:rsid w:val="00676FA3"/>
    <w:rsid w:val="00681749"/>
    <w:rsid w:val="006910F4"/>
    <w:rsid w:val="006918F8"/>
    <w:rsid w:val="006A60B6"/>
    <w:rsid w:val="006B020D"/>
    <w:rsid w:val="006B048F"/>
    <w:rsid w:val="006B4E4F"/>
    <w:rsid w:val="006B59B5"/>
    <w:rsid w:val="006B62EB"/>
    <w:rsid w:val="006D2024"/>
    <w:rsid w:val="006E240E"/>
    <w:rsid w:val="006E30FC"/>
    <w:rsid w:val="006E56C1"/>
    <w:rsid w:val="006F1EEA"/>
    <w:rsid w:val="006F3785"/>
    <w:rsid w:val="006F4EB7"/>
    <w:rsid w:val="007116E9"/>
    <w:rsid w:val="00717978"/>
    <w:rsid w:val="0073595A"/>
    <w:rsid w:val="00735D78"/>
    <w:rsid w:val="007545CB"/>
    <w:rsid w:val="00754BA6"/>
    <w:rsid w:val="00756C12"/>
    <w:rsid w:val="0076788E"/>
    <w:rsid w:val="0077326B"/>
    <w:rsid w:val="00773627"/>
    <w:rsid w:val="00773A2C"/>
    <w:rsid w:val="0078052E"/>
    <w:rsid w:val="00782682"/>
    <w:rsid w:val="00783641"/>
    <w:rsid w:val="007842CF"/>
    <w:rsid w:val="00797EE3"/>
    <w:rsid w:val="007A0953"/>
    <w:rsid w:val="007A36AB"/>
    <w:rsid w:val="007B4864"/>
    <w:rsid w:val="007C6AD3"/>
    <w:rsid w:val="007D1C87"/>
    <w:rsid w:val="007D75AC"/>
    <w:rsid w:val="007E0487"/>
    <w:rsid w:val="007E0FF0"/>
    <w:rsid w:val="007E2FC9"/>
    <w:rsid w:val="007E4326"/>
    <w:rsid w:val="007E5105"/>
    <w:rsid w:val="007E5A53"/>
    <w:rsid w:val="007F05E3"/>
    <w:rsid w:val="007F1303"/>
    <w:rsid w:val="008159A8"/>
    <w:rsid w:val="0082038B"/>
    <w:rsid w:val="008211D9"/>
    <w:rsid w:val="0082192E"/>
    <w:rsid w:val="00824B3A"/>
    <w:rsid w:val="00833C7E"/>
    <w:rsid w:val="008406BA"/>
    <w:rsid w:val="008416D1"/>
    <w:rsid w:val="00841AAE"/>
    <w:rsid w:val="00845C30"/>
    <w:rsid w:val="00846164"/>
    <w:rsid w:val="008464E0"/>
    <w:rsid w:val="00846A09"/>
    <w:rsid w:val="00847C18"/>
    <w:rsid w:val="008507F5"/>
    <w:rsid w:val="00852005"/>
    <w:rsid w:val="00856E67"/>
    <w:rsid w:val="00857666"/>
    <w:rsid w:val="0086416B"/>
    <w:rsid w:val="00865778"/>
    <w:rsid w:val="00871F20"/>
    <w:rsid w:val="008853E8"/>
    <w:rsid w:val="0089519B"/>
    <w:rsid w:val="008A583E"/>
    <w:rsid w:val="008B7DB0"/>
    <w:rsid w:val="008D04DF"/>
    <w:rsid w:val="008D3C34"/>
    <w:rsid w:val="008D73A2"/>
    <w:rsid w:val="008F2B71"/>
    <w:rsid w:val="008F53AF"/>
    <w:rsid w:val="008F7598"/>
    <w:rsid w:val="00900FB3"/>
    <w:rsid w:val="00906631"/>
    <w:rsid w:val="00907740"/>
    <w:rsid w:val="00910D10"/>
    <w:rsid w:val="009175B7"/>
    <w:rsid w:val="00917F08"/>
    <w:rsid w:val="0092031D"/>
    <w:rsid w:val="00923A16"/>
    <w:rsid w:val="00926418"/>
    <w:rsid w:val="00947C52"/>
    <w:rsid w:val="00950FC8"/>
    <w:rsid w:val="00955F9A"/>
    <w:rsid w:val="00960368"/>
    <w:rsid w:val="00965EE6"/>
    <w:rsid w:val="0097168C"/>
    <w:rsid w:val="00975987"/>
    <w:rsid w:val="009A0947"/>
    <w:rsid w:val="009A0ADB"/>
    <w:rsid w:val="009A10EC"/>
    <w:rsid w:val="009A2EA4"/>
    <w:rsid w:val="009A7603"/>
    <w:rsid w:val="009C40F0"/>
    <w:rsid w:val="009C78B7"/>
    <w:rsid w:val="009D64A3"/>
    <w:rsid w:val="00A01036"/>
    <w:rsid w:val="00A043A2"/>
    <w:rsid w:val="00A075B3"/>
    <w:rsid w:val="00A12793"/>
    <w:rsid w:val="00A15384"/>
    <w:rsid w:val="00A264E9"/>
    <w:rsid w:val="00A35EB4"/>
    <w:rsid w:val="00A41116"/>
    <w:rsid w:val="00A44482"/>
    <w:rsid w:val="00A5072F"/>
    <w:rsid w:val="00A556C2"/>
    <w:rsid w:val="00A55A25"/>
    <w:rsid w:val="00A61B34"/>
    <w:rsid w:val="00A6702E"/>
    <w:rsid w:val="00A841CC"/>
    <w:rsid w:val="00A86E9C"/>
    <w:rsid w:val="00A954CD"/>
    <w:rsid w:val="00AA6A91"/>
    <w:rsid w:val="00AA7566"/>
    <w:rsid w:val="00AB5C78"/>
    <w:rsid w:val="00AB79FC"/>
    <w:rsid w:val="00AC3D23"/>
    <w:rsid w:val="00AD604E"/>
    <w:rsid w:val="00AF5A56"/>
    <w:rsid w:val="00AF68B0"/>
    <w:rsid w:val="00B01E57"/>
    <w:rsid w:val="00B0353E"/>
    <w:rsid w:val="00B075DC"/>
    <w:rsid w:val="00B16E4E"/>
    <w:rsid w:val="00B226A5"/>
    <w:rsid w:val="00B24C91"/>
    <w:rsid w:val="00B26766"/>
    <w:rsid w:val="00B312AA"/>
    <w:rsid w:val="00B3680E"/>
    <w:rsid w:val="00B40607"/>
    <w:rsid w:val="00B44F01"/>
    <w:rsid w:val="00B52102"/>
    <w:rsid w:val="00B53C12"/>
    <w:rsid w:val="00B54092"/>
    <w:rsid w:val="00B553FA"/>
    <w:rsid w:val="00B66B37"/>
    <w:rsid w:val="00B708BC"/>
    <w:rsid w:val="00B773D2"/>
    <w:rsid w:val="00B80D7D"/>
    <w:rsid w:val="00B8340A"/>
    <w:rsid w:val="00B9135C"/>
    <w:rsid w:val="00BA0EE7"/>
    <w:rsid w:val="00BA105E"/>
    <w:rsid w:val="00BA332F"/>
    <w:rsid w:val="00BB3F0F"/>
    <w:rsid w:val="00BB4F6B"/>
    <w:rsid w:val="00BB6188"/>
    <w:rsid w:val="00BB6DBF"/>
    <w:rsid w:val="00BC023D"/>
    <w:rsid w:val="00BD0415"/>
    <w:rsid w:val="00BE0B4C"/>
    <w:rsid w:val="00BE73E8"/>
    <w:rsid w:val="00BF2455"/>
    <w:rsid w:val="00C04461"/>
    <w:rsid w:val="00C04AC0"/>
    <w:rsid w:val="00C13B11"/>
    <w:rsid w:val="00C143F8"/>
    <w:rsid w:val="00C21C26"/>
    <w:rsid w:val="00C25417"/>
    <w:rsid w:val="00C26B99"/>
    <w:rsid w:val="00C30E0B"/>
    <w:rsid w:val="00C33DB4"/>
    <w:rsid w:val="00C361CF"/>
    <w:rsid w:val="00C479A8"/>
    <w:rsid w:val="00C534F3"/>
    <w:rsid w:val="00C53DEF"/>
    <w:rsid w:val="00C55BAA"/>
    <w:rsid w:val="00C70BE0"/>
    <w:rsid w:val="00C87780"/>
    <w:rsid w:val="00C91DC3"/>
    <w:rsid w:val="00C94A76"/>
    <w:rsid w:val="00CB7F38"/>
    <w:rsid w:val="00CC0B4C"/>
    <w:rsid w:val="00CC323F"/>
    <w:rsid w:val="00CC3D58"/>
    <w:rsid w:val="00CC775C"/>
    <w:rsid w:val="00CD1916"/>
    <w:rsid w:val="00CE18D2"/>
    <w:rsid w:val="00CE4259"/>
    <w:rsid w:val="00CE6C9A"/>
    <w:rsid w:val="00CF030D"/>
    <w:rsid w:val="00D01DD4"/>
    <w:rsid w:val="00D023C1"/>
    <w:rsid w:val="00D11A32"/>
    <w:rsid w:val="00D12F79"/>
    <w:rsid w:val="00D13D56"/>
    <w:rsid w:val="00D164AC"/>
    <w:rsid w:val="00D23A4C"/>
    <w:rsid w:val="00D2685A"/>
    <w:rsid w:val="00D32FEF"/>
    <w:rsid w:val="00D35687"/>
    <w:rsid w:val="00D36262"/>
    <w:rsid w:val="00D47D27"/>
    <w:rsid w:val="00D50D52"/>
    <w:rsid w:val="00D514E9"/>
    <w:rsid w:val="00D51C4D"/>
    <w:rsid w:val="00D57354"/>
    <w:rsid w:val="00D601FB"/>
    <w:rsid w:val="00D62D46"/>
    <w:rsid w:val="00D636EA"/>
    <w:rsid w:val="00D660AA"/>
    <w:rsid w:val="00D7254F"/>
    <w:rsid w:val="00D81C4C"/>
    <w:rsid w:val="00D86AE6"/>
    <w:rsid w:val="00D92AD1"/>
    <w:rsid w:val="00D92C66"/>
    <w:rsid w:val="00DA0316"/>
    <w:rsid w:val="00DA1C48"/>
    <w:rsid w:val="00DA5199"/>
    <w:rsid w:val="00DA722E"/>
    <w:rsid w:val="00DB3AF5"/>
    <w:rsid w:val="00DB7707"/>
    <w:rsid w:val="00DC1F49"/>
    <w:rsid w:val="00DD3E7F"/>
    <w:rsid w:val="00DD5067"/>
    <w:rsid w:val="00DD6E0D"/>
    <w:rsid w:val="00DF5861"/>
    <w:rsid w:val="00E10516"/>
    <w:rsid w:val="00E110F1"/>
    <w:rsid w:val="00E12D7F"/>
    <w:rsid w:val="00E17E65"/>
    <w:rsid w:val="00E2041D"/>
    <w:rsid w:val="00E2098A"/>
    <w:rsid w:val="00E21A12"/>
    <w:rsid w:val="00E21D3E"/>
    <w:rsid w:val="00E22FC2"/>
    <w:rsid w:val="00E23EC3"/>
    <w:rsid w:val="00E3066B"/>
    <w:rsid w:val="00E31A9F"/>
    <w:rsid w:val="00E31C74"/>
    <w:rsid w:val="00E31E79"/>
    <w:rsid w:val="00E33609"/>
    <w:rsid w:val="00E33C9E"/>
    <w:rsid w:val="00E34493"/>
    <w:rsid w:val="00E34F69"/>
    <w:rsid w:val="00E35851"/>
    <w:rsid w:val="00E46112"/>
    <w:rsid w:val="00E51F9F"/>
    <w:rsid w:val="00E52D61"/>
    <w:rsid w:val="00E53E40"/>
    <w:rsid w:val="00E60563"/>
    <w:rsid w:val="00E60FA8"/>
    <w:rsid w:val="00E66B40"/>
    <w:rsid w:val="00E85312"/>
    <w:rsid w:val="00E87DCD"/>
    <w:rsid w:val="00E92B2C"/>
    <w:rsid w:val="00EA73E0"/>
    <w:rsid w:val="00EB0231"/>
    <w:rsid w:val="00EB206C"/>
    <w:rsid w:val="00EC362F"/>
    <w:rsid w:val="00EC54DA"/>
    <w:rsid w:val="00ED0E4F"/>
    <w:rsid w:val="00EE2B43"/>
    <w:rsid w:val="00EE5518"/>
    <w:rsid w:val="00EE68E6"/>
    <w:rsid w:val="00EF0E92"/>
    <w:rsid w:val="00EF50DA"/>
    <w:rsid w:val="00EF7390"/>
    <w:rsid w:val="00F028BD"/>
    <w:rsid w:val="00F033CB"/>
    <w:rsid w:val="00F105AA"/>
    <w:rsid w:val="00F1163F"/>
    <w:rsid w:val="00F20ECD"/>
    <w:rsid w:val="00F220EA"/>
    <w:rsid w:val="00F256A4"/>
    <w:rsid w:val="00F309E6"/>
    <w:rsid w:val="00F3171D"/>
    <w:rsid w:val="00F412ED"/>
    <w:rsid w:val="00F4242B"/>
    <w:rsid w:val="00F46793"/>
    <w:rsid w:val="00F53DBE"/>
    <w:rsid w:val="00F6175A"/>
    <w:rsid w:val="00F61D7F"/>
    <w:rsid w:val="00F633F1"/>
    <w:rsid w:val="00F9158D"/>
    <w:rsid w:val="00FA3332"/>
    <w:rsid w:val="00FC09D3"/>
    <w:rsid w:val="00FC15A0"/>
    <w:rsid w:val="00FC2382"/>
    <w:rsid w:val="00FD36ED"/>
    <w:rsid w:val="00FE4C58"/>
    <w:rsid w:val="00FE560A"/>
    <w:rsid w:val="00FF293C"/>
    <w:rsid w:val="00FF3642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AE2E"/>
  <w15:docId w15:val="{3021336D-CA73-44C7-BBED-9C81EF01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227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6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nhideWhenUsed/>
    <w:rsid w:val="000F7DA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F7DAB"/>
    <w:rPr>
      <w:sz w:val="20"/>
      <w:szCs w:val="20"/>
    </w:rPr>
  </w:style>
  <w:style w:type="character" w:customStyle="1" w:styleId="TextkomenteChar">
    <w:name w:val="Text komentáře Char"/>
    <w:link w:val="Textkomente"/>
    <w:rsid w:val="000F7DA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D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7DA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7D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F7DA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708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seseznamem1">
    <w:name w:val="Odstavec se seznamem1"/>
    <w:aliases w:val="Odstavec_muj,Nad,_Odstavec se seznamem,Seznam - odrážky,Odstavec cíl se seznamem,Odstavec se seznamem5"/>
    <w:basedOn w:val="Normln"/>
    <w:link w:val="OdstavecseseznamemChar"/>
    <w:uiPriority w:val="34"/>
    <w:qFormat/>
    <w:rsid w:val="00B708BC"/>
    <w:pPr>
      <w:ind w:left="720" w:right="57"/>
      <w:contextualSpacing/>
      <w:jc w:val="both"/>
    </w:pPr>
    <w:rPr>
      <w:sz w:val="20"/>
      <w:szCs w:val="20"/>
    </w:rPr>
  </w:style>
  <w:style w:type="character" w:customStyle="1" w:styleId="OdstavecseseznamemChar">
    <w:name w:val="Odstavec se seznamem Char"/>
    <w:aliases w:val="Odstavec_muj Char,Nad Char,List Paragraph Char,_Odstavec se seznamem Char,Seznam - odrážky Char,Odstavec cíl se seznamem Char,Odstavec se seznamem5 Char"/>
    <w:link w:val="Odstavecseseznamem1"/>
    <w:uiPriority w:val="34"/>
    <w:rsid w:val="00B708BC"/>
  </w:style>
  <w:style w:type="character" w:styleId="Hypertextovodkaz">
    <w:name w:val="Hyperlink"/>
    <w:rsid w:val="001519B1"/>
    <w:rPr>
      <w:color w:val="0000FF"/>
      <w:u w:val="single"/>
    </w:rPr>
  </w:style>
  <w:style w:type="paragraph" w:customStyle="1" w:styleId="normln0">
    <w:name w:val="normální"/>
    <w:basedOn w:val="Normln"/>
    <w:link w:val="normlnChar"/>
    <w:rsid w:val="00EA73E0"/>
    <w:pPr>
      <w:spacing w:before="120" w:after="0" w:line="240" w:lineRule="auto"/>
      <w:jc w:val="both"/>
    </w:pPr>
    <w:rPr>
      <w:rFonts w:eastAsia="Times New Roman"/>
      <w:szCs w:val="20"/>
    </w:rPr>
  </w:style>
  <w:style w:type="character" w:customStyle="1" w:styleId="normlnChar">
    <w:name w:val="normální Char"/>
    <w:link w:val="normln0"/>
    <w:rsid w:val="00EA73E0"/>
    <w:rPr>
      <w:rFonts w:eastAsia="Times New Roman"/>
      <w:sz w:val="22"/>
    </w:rPr>
  </w:style>
  <w:style w:type="paragraph" w:customStyle="1" w:styleId="Nadpis4a">
    <w:name w:val="Nadpis 4a"/>
    <w:basedOn w:val="Default"/>
    <w:qFormat/>
    <w:rsid w:val="00EA73E0"/>
    <w:pPr>
      <w:spacing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EF73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EF7390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E31C74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D2FB5-1DBE-4E7C-A08B-CAB16213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3596</Words>
  <Characters>21220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Strategický plán rozvoje města Olomouc</vt:lpstr>
    </vt:vector>
  </TitlesOfParts>
  <Company>RADDIT, s.r.o.</Company>
  <LinksUpToDate>false</LinksUpToDate>
  <CharactersWithSpaces>24767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Strategický plán rozvoje města Olomouc</dc:title>
  <dc:creator>Zdeněk Frélich</dc:creator>
  <cp:lastModifiedBy>Skřičilová Milena</cp:lastModifiedBy>
  <cp:revision>2</cp:revision>
  <dcterms:created xsi:type="dcterms:W3CDTF">2021-06-24T10:49:00Z</dcterms:created>
  <dcterms:modified xsi:type="dcterms:W3CDTF">2021-06-24T10:49:00Z</dcterms:modified>
</cp:coreProperties>
</file>