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83" w:rsidRDefault="00315D38">
      <w:pPr>
        <w:widowControl w:val="0"/>
        <w:spacing w:beforeAutospacing="1" w:after="6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sz w:val="27"/>
          <w:szCs w:val="27"/>
          <w:lang w:eastAsia="cs-CZ"/>
        </w:rPr>
        <w:t>STANOVY</w:t>
      </w:r>
      <w:r>
        <w:rPr>
          <w:rFonts w:ascii="Verdana" w:eastAsia="Times New Roman" w:hAnsi="Verdana" w:cs="Times New Roman"/>
          <w:b/>
          <w:sz w:val="27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Svazku měst a obcí regionu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Pomalší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</w:p>
    <w:p w:rsidR="005E4083" w:rsidRDefault="00315D38">
      <w:pPr>
        <w:widowControl w:val="0"/>
        <w:spacing w:beforeAutospacing="1" w:afterAutospacing="1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založeného podle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ust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>. §§ 49, 50, 51 a následujících zákona č. 128/2000 Sb., o obcích (obecní zřízení), ve znění pozdějších předpisů, (dále jen „zákon o obcích“)</w:t>
      </w:r>
    </w:p>
    <w:p w:rsidR="005E4083" w:rsidRDefault="005E4083">
      <w:pPr>
        <w:spacing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600"/>
      </w:tblGrid>
      <w:tr w:rsidR="005E4083">
        <w:trPr>
          <w:jc w:val="center"/>
        </w:trPr>
        <w:tc>
          <w:tcPr>
            <w:tcW w:w="900" w:type="dxa"/>
            <w:shd w:val="clear" w:color="auto" w:fill="auto"/>
          </w:tcPr>
          <w:p w:rsidR="005E4083" w:rsidRDefault="00315D38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cs-CZ"/>
              </w:rPr>
              <w:t>OBSAH</w:t>
            </w:r>
          </w:p>
        </w:tc>
        <w:tc>
          <w:tcPr>
            <w:tcW w:w="3599" w:type="dxa"/>
            <w:shd w:val="clear" w:color="auto" w:fill="auto"/>
          </w:tcPr>
          <w:p w:rsidR="005E4083" w:rsidRDefault="00315D38">
            <w:pPr>
              <w:spacing w:after="0"/>
              <w:ind w:left="0" w:firstLine="0"/>
            </w:pPr>
            <w:hyperlink r:id="rId8" w:anchor="01" w:history="1">
              <w:r>
                <w:rPr>
                  <w:rStyle w:val="Internetovodkaz"/>
                  <w:rFonts w:ascii="Verdana" w:eastAsia="Times New Roman" w:hAnsi="Verdana" w:cs="Times New Roman"/>
                  <w:sz w:val="15"/>
                  <w:lang w:eastAsia="cs-CZ"/>
                </w:rPr>
                <w:t>Čl. I - Název a sídlo</w:t>
              </w:r>
            </w:hyperlink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hyperlink r:id="rId9" w:anchor="02" w:history="1">
              <w:r>
                <w:rPr>
                  <w:rStyle w:val="Internetovodkaz"/>
                  <w:rFonts w:ascii="Verdana" w:eastAsia="Times New Roman" w:hAnsi="Verdana" w:cs="Times New Roman"/>
                  <w:sz w:val="15"/>
                  <w:lang w:eastAsia="cs-CZ"/>
                </w:rPr>
                <w:t>Čl. II - Předmět činnosti</w:t>
              </w:r>
            </w:hyperlink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hyperlink r:id="rId10" w:anchor="03" w:history="1">
              <w:r>
                <w:rPr>
                  <w:rStyle w:val="Internetovodkaz"/>
                  <w:rFonts w:ascii="Verdana" w:eastAsia="Times New Roman" w:hAnsi="Verdana" w:cs="Times New Roman"/>
                  <w:sz w:val="15"/>
                  <w:lang w:eastAsia="cs-CZ"/>
                </w:rPr>
                <w:t>Čl. III- Majetkové poměry svazku</w:t>
              </w:r>
            </w:hyperlink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"04"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IV - Hospodaření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"05"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V -</w:t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 xml:space="preserve"> Členství ve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"06"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VI - Práva a povinnosti členů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"07"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VII - Orgány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</w:instrText>
            </w:r>
            <w:r>
              <w:instrText>http://www.mujkraj.cz/svazek/dokumenty/zakladni/stanovy.htm" \l "08"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VIII - Shromáždění starostů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"09"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ČI. IX - Předseda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</w:instrText>
            </w:r>
            <w:r>
              <w:instrText>http://www.mujkraj.cz/svazek/dokumenty/zakladni/stanovy.htm" \l "10"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ČI. X - Místopředseda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"11"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XI - Rada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</w:instrText>
            </w:r>
            <w:r>
              <w:instrText>tanovy.htm" \l "12"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ČI. XII - Sekretář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"13"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Čl. XIII - Zrušení svazku</w:t>
            </w:r>
            <w:r>
              <w:fldChar w:fldCharType="end"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cs-CZ"/>
              </w:rPr>
              <w:br/>
            </w:r>
            <w:r>
              <w:fldChar w:fldCharType="begin"/>
            </w:r>
            <w:r>
              <w:instrText>HYPERLINK "http://www.mujkraj.cz/svazek/dokumenty/zakladni/stanovy.htm" \l "14"</w:instrText>
            </w:r>
            <w:r>
              <w:fldChar w:fldCharType="separate"/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ČI. XIV - Závěrečné u</w:t>
            </w:r>
            <w:r>
              <w:rPr>
                <w:rStyle w:val="Internetovodkaz"/>
                <w:rFonts w:ascii="Verdana" w:eastAsia="Times New Roman" w:hAnsi="Verdana" w:cs="Times New Roman"/>
                <w:sz w:val="15"/>
                <w:lang w:eastAsia="cs-CZ"/>
              </w:rPr>
              <w:t>stanovení</w:t>
            </w:r>
            <w:r>
              <w:fldChar w:fldCharType="end"/>
            </w:r>
          </w:p>
        </w:tc>
      </w:tr>
    </w:tbl>
    <w:p w:rsidR="005E4083" w:rsidRDefault="005E4083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083" w:rsidRDefault="00315D38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114300" distR="114300">
                <wp:extent cx="3169285" cy="19685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249.45pt;height:1.45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:rsidR="005E4083" w:rsidRDefault="005E4083">
      <w:pPr>
        <w:spacing w:after="24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083" w:rsidRDefault="00315D38">
      <w:pPr>
        <w:widowControl w:val="0"/>
        <w:spacing w:beforeAutospacing="1" w:afterAutospacing="1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01"/>
      <w:bookmarkEnd w:id="0"/>
      <w:r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Čl. I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br/>
        <w:t>Název a sídlo</w:t>
      </w:r>
    </w:p>
    <w:p w:rsidR="005E4083" w:rsidRDefault="00315D38">
      <w:pPr>
        <w:widowControl w:val="0"/>
        <w:spacing w:beforeAutospacing="1" w:after="0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Název:  Svazek měst a obcí regionu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Pomalší</w:t>
      </w:r>
      <w:proofErr w:type="spellEnd"/>
    </w:p>
    <w:p w:rsidR="005E4083" w:rsidRDefault="00315D38">
      <w:pPr>
        <w:widowControl w:val="0"/>
        <w:spacing w:afterAutospacing="1"/>
        <w:ind w:left="0" w:firstLine="0"/>
        <w:rPr>
          <w:rFonts w:ascii="Verdana" w:eastAsia="Times New Roman" w:hAnsi="Verdana" w:cs="Times New Roman"/>
          <w:color w:val="FF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IČ: 62536443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Sídlo: Nám. J.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Gurreho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2, Římov, PSČ 373 24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cs-CZ"/>
        </w:rPr>
        <w:t xml:space="preserve">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02"/>
      <w:bookmarkEnd w:id="1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Čl. 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Předmět činnosti </w:t>
      </w:r>
    </w:p>
    <w:p w:rsidR="005E4083" w:rsidRDefault="00315D38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Předmětem činnosti svazku obcí v oblastech upravených v § 50 zák. č. 128/2000 Sb., o obcích, je: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• Rozvíjení kontaktů v rámci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mezisvazkové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meziobecní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přeshraniční spolupráce a spolupráce s Místními akčními skupinami.  </w:t>
      </w:r>
    </w:p>
    <w:p w:rsidR="005E4083" w:rsidRDefault="00315D38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•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Zajišťovat úkoly v oblasti ško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lství, sociální péče, kultury, požární ochrany, ochrany životního prostředí a cestovního ruchu vč. podpory cykloturistiky.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•  Zabezpečování čistoty obce, správy veřejné zeleně, zásobování vodou, odvádění a čištění odpadních vod.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>•  Zavádění rozšiřování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zdokonalování inženýrských sítí a systémů veřejné osobní dopravy k zajištění dopravní obslužnosti území.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>•  Vytváření motivujícího prostředí pro subjekty z řad podnikatelů, obyvatel, občanských spolků a sdružení formou jejich konkrétního zapojování do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systému turistické a obchodní nabídky.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>•  Zajišťovat vícezdrojové financování společných i individuálních záměrů, poskytovat členům svazku aktuální informace o nových programech.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 xml:space="preserve">•  Zajišťovat pro obce svazku koordinační, propagační a ediční činnosti,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pořádání kulturních akcí, odborných školení a seminářů, spolupráci s odbornými a zájmovými institucemi, asociacemi, svazy, sdruženími a podniky. </w:t>
      </w:r>
    </w:p>
    <w:p w:rsidR="009B180D" w:rsidRPr="009B180D" w:rsidRDefault="009B180D" w:rsidP="009B180D">
      <w:pPr>
        <w:pStyle w:val="Odstavecseseznamem"/>
        <w:widowControl w:val="0"/>
        <w:numPr>
          <w:ilvl w:val="0"/>
          <w:numId w:val="2"/>
        </w:numPr>
        <w:spacing w:beforeAutospacing="1" w:afterAutospacing="1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Zajištění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cs-CZ"/>
        </w:rPr>
        <w:t>výstavby , dostavby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provozování turistické infrastruktury </w:t>
      </w:r>
    </w:p>
    <w:p w:rsidR="009B180D" w:rsidRPr="009B180D" w:rsidRDefault="009B180D" w:rsidP="009B180D">
      <w:pPr>
        <w:widowControl w:val="0"/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03"/>
      <w:bookmarkEnd w:id="2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III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Majetkové poměry svazku </w:t>
      </w:r>
    </w:p>
    <w:p w:rsidR="005E4083" w:rsidRDefault="00315D38">
      <w:pPr>
        <w:widowControl w:val="0"/>
        <w:spacing w:beforeAutospacing="1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Majetek svazku je tvořen: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a)  pravidelnými ročními členskými příspěvky,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kdy výši příspěvku jednotlivých obcí na 1 obyvatele přihlášeného k trvalému pobytu v obci stanoví shromáždění starostů vždy při projednávání rozpočtu na nadcházející rok.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  příjmy z podnikatelské činnosti svazku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  prostředky získanými od státu nebo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jiných osob.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d)  kapitálovými příjmy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e)  mimořádnými členskými příspěvky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  <w:t>Pravidelný roční členský příspěvek, stanovený na 1 obyvatele přihlášeného k trvalému pobytu v obci, je splatný do 31. 3. příslušného roku. Pro stanovení počtu obyvatel se vychá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zí ze stavu k 1. 1. předchozího roku.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Mimořádný členský příspěvek dle rozhodnutí shromáždění starostů, jehož výše bude odvislá od počtu obyvatel obce nebo podílu příslušné obce na realizované akci, je splatný v termínu stanoveném shromážděním starostů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4. Pravidelné členské příspěvky, jednorázové vstupní příspěvky, mimořádné členské příspěvky nebo poskytnuté finanční a jiné prostředky se stávají majetkem svazku okamžikem jejich předání a svazek je správcem tohoto majetku.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5.  Majetek svazku může být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použit pouze k účelům vztahujícím se k předmětu jeho činnosti.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04"/>
      <w:bookmarkEnd w:id="3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Čl. IV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Hospodaření svazku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1.  Rada svazku sestavuje rozpočet, který schvaluje shromáždění starostů. Rozpočet je sestavován na příslušný kalendářní rok a vyúčtování výsledků hospodaření se p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rovádí do tří měsíců po skončení příslušného kalendářního roku.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Svazek hospodaří podle zákona o rozpočtových pravidlech územních rozpočtů.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Uzavřít smlouvu o dílo lze vždy jen po předchozím výběrov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>ém řízení podle zák. č. 134/2016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Sb., o zadávání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veřejných zakázek, ve znění pozdějších předpisů.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05"/>
      <w:bookmarkEnd w:id="4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V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Členství ve svazku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Členství zakladatelů ve svazku vzniká podpisem zakladatelské smlouvy. Další člen může ke svazku přistoupit se souhlasem nadpoloviční většiny všech dosavadních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členů. Členem sv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azku se může stát i jiný svazek obcí prostřednictvím svého statutárního zástupce s právy a povinnostmi odpovídajícími individuálnímu členství. </w:t>
      </w:r>
    </w:p>
    <w:p w:rsidR="005E4083" w:rsidRDefault="005E4083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2.  Členství zaniká: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a) výpovědí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b) zrušením podle čl. XIII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c) vyloučením pro neplnění povinností člena </w:t>
      </w:r>
    </w:p>
    <w:p w:rsidR="005E4083" w:rsidRDefault="00315D38">
      <w:pPr>
        <w:widowControl w:val="0"/>
        <w:spacing w:beforeAutospacing="1" w:afterAutospacing="1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Výpo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vědní doba je jednoroční a počíná běžet od 1. ledna následujícího kalendářního roku po doručení písemné výpovědi statutárnímu orgánu svazku. </w:t>
      </w:r>
    </w:p>
    <w:p w:rsidR="005E4083" w:rsidRDefault="00315D38">
      <w:pPr>
        <w:widowControl w:val="0"/>
        <w:spacing w:beforeAutospacing="1" w:afterAutospacing="1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Ukončení členství je spojeno s majetkovým vypořádáním.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Vyloučení ze svazku musí odsouhlasit nadpoloviční větš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ina všech členů.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06"/>
      <w:bookmarkEnd w:id="5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VI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Práva a povinnosti členů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Člen je povinen: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a)  zaplatit pravidelný roční členský příspěvek ve lhůtě uvedené ve stanovách.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b)  zaplatit mimořádný členský příspěvek ve výši a lhůtě stanovené shromážděním starostů. Nebude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noBreakHyphen/>
        <w:t>li mi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mořádný členský příspěvek uhrazen ani v přiměřené dodatečné lhůtě stanovené radou, je rada oprávněna přerušit realizaci akcí zajišťovaných svazkem v území obvodu člena.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  napomáhat podle svých možností činnosti svazku,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d)  respektovat rozhodnutí jeho 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rgánů.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Člen je oprávněn: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a)  volit a být volen do orgánu svazku, a to prostřednictvím svého zástupce, </w:t>
      </w:r>
    </w:p>
    <w:p w:rsidR="005E4083" w:rsidRDefault="00315D38">
      <w:pPr>
        <w:widowControl w:val="0"/>
        <w:tabs>
          <w:tab w:val="left" w:pos="360"/>
        </w:tabs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  hlasovat na shromáždění starostů nebo na schůzi rady prostřednictvím svých zástupců, každý člen a členská obec má jeden hlas, </w:t>
      </w:r>
    </w:p>
    <w:p w:rsidR="005E4083" w:rsidRDefault="00315D38">
      <w:pPr>
        <w:widowControl w:val="0"/>
        <w:tabs>
          <w:tab w:val="left" w:pos="360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  kontrolovat činnost svazku. </w:t>
      </w:r>
    </w:p>
    <w:p w:rsidR="005E4083" w:rsidRDefault="00315D38">
      <w:pPr>
        <w:widowControl w:val="0"/>
        <w:tabs>
          <w:tab w:val="left" w:pos="360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d)  podávat návrhy a podněty k činnosti svazku.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07"/>
      <w:bookmarkEnd w:id="6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VII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Orgány svazku </w:t>
      </w:r>
    </w:p>
    <w:p w:rsidR="005E4083" w:rsidRDefault="00315D38">
      <w:pPr>
        <w:widowControl w:val="0"/>
        <w:spacing w:beforeAutospacing="1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Orgány svazku jsou: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a) shromáždění starostů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 předseda svazku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 místopředseda svazku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d) rada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e) sekretář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Do orgánů svazku, kromě sekretáře, mohou být voleni pouze zástupci z řad starostů či místostarostů členských obcí.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Nestanoví-li stanovy jinak, vyžaduje se pro platnost usnesení shromáždění starostů a rady jejich řádné svolání, přítomnost a souhlas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nadpoloviční většiny všech členů. </w:t>
      </w:r>
    </w:p>
    <w:p w:rsidR="005E4083" w:rsidRDefault="005E4083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E4083" w:rsidRDefault="005E4083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E4083" w:rsidRDefault="005E4083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08"/>
      <w:bookmarkEnd w:id="7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VIII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Shromáždění starostů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Shromáždění starostů je nejvyšším orgánem svazku.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2.  Shromáždění starostů se schází nejméně jednou za rok. Svolání shromáždění starostů musí být písemně oznámeno nejméně jeden týd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en přede dnem jeho konání.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3.  Do působnosti shromáždění starostů patří: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a)  měnit a doplňovat stanovy,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  volit a odvolávat předsedu, místopředsedu a další členy rady,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  schvalovat rozpočet a vyúčtování výsledků hospodaření za předchozí kalendářní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rok,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d)  rozhodovat o přijetí nových členů,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e)  rozhodovat o výši a splatnosti dalšího členského příspěvku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f)   rozhodovat o zrušení svazku, vstupu do likvidace a jmenování likvidátora i stanovení výše jeho odměny.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4.  Shromáždění starostů rozhoduje i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o dalších záležitostech týkajících se svazku a jeho činnosti, pokud si rozhodování o některé věci vyhradilo.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5.  Člen svazku může zmocnit jiného člena svazku, aby ho na shromáždění starostů zastupoval. Písemné osvědčení o plné moci nemusí být úředně ověřeno.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6.  Hlasování na shromáždění starostů je veřejné. Na tajném hlasování se může v jednotlivých případech sh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romáždění starostů usnést nadpoloviční většinou hlasů přítomných členů.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7.  Shromáždění starostů je usnášeníschopné, je-li přítomna nadpoloviční většina členů. K přijetí usnesení je třeba nadpoloviční většiny přítomných členů, s výjimkou uvedenou v odstav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ci 1, 2, 3 čl. V. Každý člen má jeden hlas.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8.  Shromáždění starostů svolává předseda svazku. Musí být svoláno, požádá-li o to alespoň 30 % členů svazku.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9.  Z každého shromáždění starostů se pořizuje zápis, který musí obsahovat: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a)  datum a místo konán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í shromáždění starostů,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  přijatá usnesení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c)  výsledky hlasování </w:t>
      </w:r>
    </w:p>
    <w:p w:rsidR="005E4083" w:rsidRDefault="00315D38">
      <w:pPr>
        <w:widowControl w:val="0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d)  nepřijaté námitky členů, kteří žádali o jejich zaprotokolování. </w:t>
      </w:r>
    </w:p>
    <w:p w:rsidR="005E4083" w:rsidRDefault="00315D38">
      <w:pPr>
        <w:widowControl w:val="0"/>
        <w:spacing w:beforeAutospacing="1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Přílohu zápisu tvoří seznam účastníků shromáždění starostů, pozvánka na ni a podklady, které byly předloženy k proje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dnávaným bodům. Každý člen má právo vyžádat si zápis a jeho přílohy k nahlédnutí.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8" w:name="09"/>
      <w:bookmarkEnd w:id="8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ČI. IX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Předseda svazku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 xml:space="preserve">1.  Předseda je statutárním zástupcem svazku. Řídí jeho činnost mezi jednotlivými zasedáními shromáždění starostů a jedná navenek jeho jménem.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Předsedu volí shromáždění starostů na dobu shodnou s funkčním obdobím zastupitelstev obcí.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3.  Svolává zasedání rady a shromáždění starostů a věcně, organizačně a administrativně zajišťuje jeho průběh.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4.  Řídí práci místopředsedy a sekretáře svazku.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5.  Zaji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šťuje vedení účetnictví </w:t>
      </w:r>
      <w:proofErr w:type="gramStart"/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>svazku  a hospodaření</w:t>
      </w:r>
      <w:proofErr w:type="gramEnd"/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podle schváleného rozpočtu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6.  Zajišťuje archivaci písemností svazku.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7.  Předkládá shromáždění starostů roční rozpočet svazku a roční účetní uzávěrku.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8.  Podepisuje listiny svazku tak, že k názvu svazku nebo k otisku razítka se uvede jmén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o a funkce podepisujícího a jeho vlastnoruční podpis.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" w:name="10"/>
      <w:bookmarkEnd w:id="9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ČI. X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Místopředseda svazku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Místopředseda plní funkci předsedy v jeho nepřítomnosti, v jiných případech pouze na základě písemného pověření předsedy svazku.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Místopředsedu volí shromáždění starostů na dobu shodnou s funkčním obdobím zastupitelstev obcí.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3.  Pro činnost a kompetence místopředsedy platí obdobně ustanovení článku IX. těchto stanov.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0" w:name="11"/>
      <w:bookmarkEnd w:id="10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Čl. XI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Rada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1.  Rada má nejméně pět členů a je volena z řad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starostů či místostarostů členských obcí. Je složena z předsedy, místopředsedy svazku a nejméně dalších tří členů rady.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Rada kontroluje činnost předsedy, místopředsedy a sekretáře svazku, dbá na dodržování stanov, plánu činnosti a rozpočtu svazku.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.  Členové rady mají právo účastnit se jednání zástupců svazku s třetími osobami. </w:t>
      </w:r>
    </w:p>
    <w:p w:rsidR="005E4083" w:rsidRDefault="00315D38">
      <w:pPr>
        <w:widowControl w:val="0"/>
        <w:tabs>
          <w:tab w:val="left" w:pos="360"/>
        </w:tabs>
        <w:spacing w:after="10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4.  Rada stanovuje odměnu sekretáři svazku, případně dalším administrativním pracovníkům.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5.  Jednání rady organizuje a řídí předseda svazku.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1" w:name="12"/>
      <w:bookmarkEnd w:id="11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ČI. XII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Sekretář svazku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Sekretář je administrativně - organizačním pracovníkem svazku, který nemá pravomoci statutárních orgánů.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Sekretáře jmenuje shromáždění starostů, pokud nepověří jmenováním radu svazku.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Sekretář je plně podřízen předsedovi svazku, v jeho nepřítomno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sti místopředsedovi, vede a vyřizuje běžnou agendu a připravuje pracovní materiály pro orgány svazku.</w:t>
      </w:r>
    </w:p>
    <w:p w:rsidR="005E4083" w:rsidRDefault="005E4083">
      <w:pPr>
        <w:widowControl w:val="0"/>
        <w:spacing w:beforeAutospacing="1" w:after="240"/>
        <w:ind w:left="0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:rsidR="005E4083" w:rsidRDefault="005E4083">
      <w:pPr>
        <w:widowControl w:val="0"/>
        <w:spacing w:beforeAutospacing="1" w:after="240"/>
        <w:ind w:left="0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2" w:name="13"/>
      <w:bookmarkEnd w:id="12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Čl. XIII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Zrušení svazku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1.  Svazek se zrušuje: </w:t>
      </w:r>
    </w:p>
    <w:p w:rsidR="005E4083" w:rsidRDefault="00315D38">
      <w:pPr>
        <w:widowControl w:val="0"/>
        <w:tabs>
          <w:tab w:val="left" w:pos="927"/>
        </w:tabs>
        <w:spacing w:after="0"/>
        <w:ind w:left="924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a)  dohodou, </w:t>
      </w:r>
    </w:p>
    <w:p w:rsidR="005E4083" w:rsidRDefault="00315D38">
      <w:pPr>
        <w:widowControl w:val="0"/>
        <w:tabs>
          <w:tab w:val="left" w:pos="927"/>
        </w:tabs>
        <w:spacing w:after="0"/>
        <w:ind w:left="924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b)  sloučením s jinou právnickou osobou, </w:t>
      </w:r>
    </w:p>
    <w:p w:rsidR="005E4083" w:rsidRDefault="00315D38">
      <w:pPr>
        <w:widowControl w:val="0"/>
        <w:tabs>
          <w:tab w:val="left" w:pos="927"/>
        </w:tabs>
        <w:spacing w:after="0"/>
        <w:ind w:left="924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c)  splynutím s jinou právnickou osobou,</w:t>
      </w:r>
    </w:p>
    <w:p w:rsidR="005E4083" w:rsidRDefault="00315D38">
      <w:pPr>
        <w:widowControl w:val="0"/>
        <w:tabs>
          <w:tab w:val="left" w:pos="927"/>
        </w:tabs>
        <w:spacing w:after="0"/>
        <w:ind w:left="924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d) ro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zdělením.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Svazek zaniká dnem výmazu z veřejného rejstříku.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3.  Nepřejde-li majetek svazku na právního nástupce, provede se jeho likvidace. Na průběh likvidace se přiměřeně použijí ustanovení § 187 a násl. občanského zákoníku, zák. č. 89/2012 Sb., pokud ze stanov nevyplývá něco jiného. Likvidační zůstatek se rozděl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í mezi členy podle výše jejich dalších členských příspěvků. </w:t>
      </w:r>
    </w:p>
    <w:p w:rsidR="005E4083" w:rsidRDefault="00315D38">
      <w:pPr>
        <w:widowControl w:val="0"/>
        <w:spacing w:beforeAutospacing="1" w:after="24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3" w:name="14"/>
      <w:bookmarkEnd w:id="13"/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ČI. XIV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br/>
        <w:t xml:space="preserve">Závěrečné ustanovení </w:t>
      </w:r>
    </w:p>
    <w:p w:rsidR="005E4083" w:rsidRDefault="00315D38">
      <w:pPr>
        <w:widowControl w:val="0"/>
        <w:spacing w:beforeAutospacing="1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1.  Svazek je právnickou osobou, která odpovídá celým svým majetkem za porušení svých povinností. Členové ručí za závazky svazku do výše nezaplacených členských pří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spěvků.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2.  Svazek nabývá právní způsobilosti zápisem do registru svazků obcí vedeného u Krajského úřadu v Českých Budějovicích.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3.  Právní vztahy těmito stanovami výslovně neupravené se řídí příslušnými ustanoveními občanského zákoníku, zák. č. 89/2012 Sb. a příslušnými ustanoveními zák. č. 128/2000 Sb., o obcích (obecní zřízení), ve znění pozdějších předpisů. </w:t>
      </w:r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4.  Tyto Stanovy vst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upují v platnost a účinnost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usnesením shromáždění starostů ze dne </w:t>
      </w:r>
      <w:proofErr w:type="gramStart"/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>5.3.2019</w:t>
      </w:r>
      <w:proofErr w:type="gramEnd"/>
    </w:p>
    <w:p w:rsidR="005E4083" w:rsidRDefault="00315D38">
      <w:pPr>
        <w:widowControl w:val="0"/>
        <w:tabs>
          <w:tab w:val="left" w:pos="360"/>
        </w:tabs>
        <w:spacing w:beforeAutospacing="1" w:afterAutospacing="1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5.  Zrušují se stanovy Svazku měst 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 obcí regionu </w:t>
      </w:r>
      <w:proofErr w:type="spellStart"/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>Pomalší</w:t>
      </w:r>
      <w:proofErr w:type="spellEnd"/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ze dne 24. 2. 2015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5E4083" w:rsidRDefault="009B180D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V Římově dne 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cs-CZ"/>
        </w:rPr>
        <w:t>11.8.2019</w:t>
      </w:r>
      <w:proofErr w:type="gramEnd"/>
      <w:r w:rsidR="00315D38">
        <w:rPr>
          <w:rFonts w:ascii="Verdana" w:eastAsia="Times New Roman" w:hAnsi="Verdana" w:cs="Times New Roman"/>
          <w:sz w:val="20"/>
          <w:szCs w:val="20"/>
          <w:lang w:eastAsia="cs-CZ"/>
        </w:rPr>
        <w:br/>
      </w:r>
    </w:p>
    <w:p w:rsidR="005E4083" w:rsidRDefault="005E4083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E4083" w:rsidRDefault="005E4083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E4083" w:rsidRDefault="009B180D">
      <w:pPr>
        <w:widowControl w:val="0"/>
        <w:spacing w:beforeAutospacing="1" w:afterAutospacing="1"/>
        <w:ind w:left="0" w:firstLine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315D38"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</w:t>
      </w:r>
    </w:p>
    <w:p w:rsidR="005E4083" w:rsidRDefault="00315D38">
      <w:pPr>
        <w:widowControl w:val="0"/>
        <w:spacing w:beforeAutospacing="1" w:afterAutospacing="1"/>
        <w:ind w:left="0" w:firstLine="0"/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pře</w:t>
      </w:r>
      <w:bookmarkStart w:id="14" w:name="_GoBack"/>
      <w:bookmarkEnd w:id="14"/>
      <w:r>
        <w:rPr>
          <w:rFonts w:ascii="Verdana" w:eastAsia="Times New Roman" w:hAnsi="Verdana" w:cs="Times New Roman"/>
          <w:sz w:val="20"/>
          <w:szCs w:val="20"/>
          <w:lang w:eastAsia="cs-CZ"/>
        </w:rPr>
        <w:t>dseda svazku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– Marek Prokeš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místopředseda svazku</w:t>
      </w:r>
      <w:r w:rsidR="009B180D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– ing. Tomáš Šedivý</w:t>
      </w:r>
    </w:p>
    <w:sectPr w:rsidR="005E4083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38" w:rsidRDefault="00315D38">
      <w:pPr>
        <w:spacing w:after="0"/>
      </w:pPr>
      <w:r>
        <w:separator/>
      </w:r>
    </w:p>
  </w:endnote>
  <w:endnote w:type="continuationSeparator" w:id="0">
    <w:p w:rsidR="00315D38" w:rsidRDefault="00315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38" w:rsidRDefault="00315D38">
      <w:pPr>
        <w:spacing w:after="0"/>
      </w:pPr>
      <w:r>
        <w:separator/>
      </w:r>
    </w:p>
  </w:footnote>
  <w:footnote w:type="continuationSeparator" w:id="0">
    <w:p w:rsidR="00315D38" w:rsidRDefault="00315D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83" w:rsidRDefault="005E40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65F"/>
    <w:multiLevelType w:val="hybridMultilevel"/>
    <w:tmpl w:val="BB4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9449A"/>
    <w:multiLevelType w:val="hybridMultilevel"/>
    <w:tmpl w:val="F1BC7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83"/>
    <w:rsid w:val="000C3392"/>
    <w:rsid w:val="00315D38"/>
    <w:rsid w:val="005E4083"/>
    <w:rsid w:val="0063222A"/>
    <w:rsid w:val="009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98B"/>
    <w:pPr>
      <w:spacing w:after="200"/>
      <w:ind w:left="714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5C2B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654F9E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654F9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semiHidden/>
    <w:unhideWhenUsed/>
    <w:rsid w:val="00654F9E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semiHidden/>
    <w:unhideWhenUsed/>
    <w:rsid w:val="00654F9E"/>
    <w:pPr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Normln"/>
    <w:uiPriority w:val="34"/>
    <w:qFormat/>
    <w:rsid w:val="009B1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98B"/>
    <w:pPr>
      <w:spacing w:after="200"/>
      <w:ind w:left="714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5C2B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654F9E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654F9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semiHidden/>
    <w:unhideWhenUsed/>
    <w:rsid w:val="00654F9E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semiHidden/>
    <w:unhideWhenUsed/>
    <w:rsid w:val="00654F9E"/>
    <w:pPr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Normln"/>
    <w:uiPriority w:val="34"/>
    <w:qFormat/>
    <w:rsid w:val="009B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kraj.cz/svazek/dokumenty/zakladni/stanovy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ujkraj.cz/svazek/dokumenty/zakladni/stanov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jkraj.cz/svazek/dokumenty/zakladni/stanovy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Chmelová</dc:creator>
  <cp:lastModifiedBy>uzivatel</cp:lastModifiedBy>
  <cp:revision>2</cp:revision>
  <cp:lastPrinted>2019-08-12T10:37:00Z</cp:lastPrinted>
  <dcterms:created xsi:type="dcterms:W3CDTF">2019-08-12T10:49:00Z</dcterms:created>
  <dcterms:modified xsi:type="dcterms:W3CDTF">2019-08-12T10:49:00Z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