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76372" w14:paraId="54DE3FA4" w14:textId="77777777" w:rsidTr="008E074D">
        <w:trPr>
          <w:trHeight w:hRule="exact" w:val="397"/>
        </w:trPr>
        <w:tc>
          <w:tcPr>
            <w:tcW w:w="2376" w:type="dxa"/>
            <w:hideMark/>
          </w:tcPr>
          <w:p w14:paraId="0AE10A5E" w14:textId="77777777" w:rsidR="00A76372" w:rsidRDefault="00A7637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6577B35" w14:textId="77777777" w:rsidR="00A76372" w:rsidRDefault="00A76372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151E8FE6" w14:textId="77777777" w:rsidR="00A76372" w:rsidRDefault="00A7637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08336E8" w14:textId="77777777" w:rsidR="00A76372" w:rsidRPr="00152E0E" w:rsidRDefault="00A76372" w:rsidP="00970720">
            <w:pPr>
              <w:pStyle w:val="KUJKnormal"/>
              <w:rPr>
                <w:b/>
                <w:bCs/>
                <w:sz w:val="28"/>
              </w:rPr>
            </w:pPr>
            <w:r w:rsidRPr="00152E0E">
              <w:rPr>
                <w:b/>
                <w:bCs/>
                <w:sz w:val="28"/>
              </w:rPr>
              <w:t>47</w:t>
            </w:r>
          </w:p>
        </w:tc>
      </w:tr>
      <w:tr w:rsidR="00A76372" w14:paraId="3A0C59BC" w14:textId="77777777" w:rsidTr="008E074D">
        <w:trPr>
          <w:cantSplit/>
          <w:trHeight w:hRule="exact" w:val="397"/>
        </w:trPr>
        <w:tc>
          <w:tcPr>
            <w:tcW w:w="2376" w:type="dxa"/>
            <w:hideMark/>
          </w:tcPr>
          <w:p w14:paraId="6D3C5CDA" w14:textId="77777777" w:rsidR="00A76372" w:rsidRDefault="00A7637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FC31513" w14:textId="77777777" w:rsidR="00A76372" w:rsidRDefault="00A76372" w:rsidP="00970720">
            <w:pPr>
              <w:pStyle w:val="KUJKnormal"/>
            </w:pPr>
            <w:r>
              <w:t>135/ZK/26</w:t>
            </w:r>
          </w:p>
        </w:tc>
      </w:tr>
      <w:tr w:rsidR="00A76372" w14:paraId="715DEC6A" w14:textId="77777777" w:rsidTr="008E074D">
        <w:trPr>
          <w:trHeight w:val="397"/>
        </w:trPr>
        <w:tc>
          <w:tcPr>
            <w:tcW w:w="2376" w:type="dxa"/>
          </w:tcPr>
          <w:p w14:paraId="06DB675A" w14:textId="77777777" w:rsidR="00A76372" w:rsidRDefault="00A76372" w:rsidP="00970720"/>
          <w:p w14:paraId="2A18AA4F" w14:textId="77777777" w:rsidR="00A76372" w:rsidRDefault="00A7637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F4A5E89" w14:textId="77777777" w:rsidR="00A76372" w:rsidRDefault="00A76372" w:rsidP="00970720"/>
          <w:p w14:paraId="33196C56" w14:textId="77777777" w:rsidR="00A76372" w:rsidRDefault="00A7637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ke zřizovací listině Domova pro seniory Horní Stropnice</w:t>
            </w:r>
          </w:p>
        </w:tc>
      </w:tr>
    </w:tbl>
    <w:p w14:paraId="3B43A228" w14:textId="77777777" w:rsidR="00A76372" w:rsidRDefault="00A76372" w:rsidP="008E074D">
      <w:pPr>
        <w:pStyle w:val="KUJKnormal"/>
        <w:rPr>
          <w:b/>
          <w:bCs/>
        </w:rPr>
      </w:pPr>
      <w:r>
        <w:rPr>
          <w:b/>
          <w:bCs/>
        </w:rPr>
        <w:pict w14:anchorId="56AB762A">
          <v:rect id="_x0000_i1029" style="width:453.6pt;height:1.5pt" o:hralign="center" o:hrstd="t" o:hrnoshade="t" o:hr="t" fillcolor="black" stroked="f"/>
        </w:pict>
      </w:r>
    </w:p>
    <w:p w14:paraId="2CB0B7EB" w14:textId="77777777" w:rsidR="00A76372" w:rsidRDefault="00A76372" w:rsidP="008E074D">
      <w:pPr>
        <w:pStyle w:val="KUJKnormal"/>
      </w:pPr>
    </w:p>
    <w:p w14:paraId="128C6E9E" w14:textId="77777777" w:rsidR="00A76372" w:rsidRDefault="00A76372" w:rsidP="008E074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76372" w14:paraId="49103208" w14:textId="77777777" w:rsidTr="002559B8">
        <w:trPr>
          <w:trHeight w:val="397"/>
        </w:trPr>
        <w:tc>
          <w:tcPr>
            <w:tcW w:w="2350" w:type="dxa"/>
            <w:hideMark/>
          </w:tcPr>
          <w:p w14:paraId="307C5860" w14:textId="77777777" w:rsidR="00A76372" w:rsidRDefault="00A7637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D571E76" w14:textId="77777777" w:rsidR="00A76372" w:rsidRDefault="00A76372" w:rsidP="002559B8">
            <w:pPr>
              <w:pStyle w:val="KUJKnormal"/>
            </w:pPr>
            <w:r>
              <w:t>doc. Ing. Lucie Kozlová, Ph.D.</w:t>
            </w:r>
          </w:p>
          <w:p w14:paraId="02386891" w14:textId="77777777" w:rsidR="00A76372" w:rsidRDefault="00A76372" w:rsidP="002559B8"/>
        </w:tc>
      </w:tr>
      <w:tr w:rsidR="00A76372" w14:paraId="1E9CECAE" w14:textId="77777777" w:rsidTr="002559B8">
        <w:trPr>
          <w:trHeight w:val="397"/>
        </w:trPr>
        <w:tc>
          <w:tcPr>
            <w:tcW w:w="2350" w:type="dxa"/>
          </w:tcPr>
          <w:p w14:paraId="0D5C2EF5" w14:textId="77777777" w:rsidR="00A76372" w:rsidRDefault="00A76372" w:rsidP="002559B8">
            <w:pPr>
              <w:pStyle w:val="KUJKtucny"/>
            </w:pPr>
            <w:r>
              <w:t>Zpracoval:</w:t>
            </w:r>
          </w:p>
          <w:p w14:paraId="24823383" w14:textId="77777777" w:rsidR="00A76372" w:rsidRDefault="00A76372" w:rsidP="002559B8"/>
        </w:tc>
        <w:tc>
          <w:tcPr>
            <w:tcW w:w="6862" w:type="dxa"/>
            <w:hideMark/>
          </w:tcPr>
          <w:p w14:paraId="31FEFF82" w14:textId="77777777" w:rsidR="00A76372" w:rsidRDefault="00A76372" w:rsidP="002559B8">
            <w:pPr>
              <w:pStyle w:val="KUJKnormal"/>
            </w:pPr>
            <w:r>
              <w:t>OSOV</w:t>
            </w:r>
          </w:p>
        </w:tc>
      </w:tr>
      <w:tr w:rsidR="00A76372" w14:paraId="7969CB7C" w14:textId="77777777" w:rsidTr="002559B8">
        <w:trPr>
          <w:trHeight w:val="397"/>
        </w:trPr>
        <w:tc>
          <w:tcPr>
            <w:tcW w:w="2350" w:type="dxa"/>
          </w:tcPr>
          <w:p w14:paraId="05308982" w14:textId="77777777" w:rsidR="00A76372" w:rsidRPr="009715F9" w:rsidRDefault="00A7637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217FFD8" w14:textId="77777777" w:rsidR="00A76372" w:rsidRDefault="00A76372" w:rsidP="002559B8"/>
        </w:tc>
        <w:tc>
          <w:tcPr>
            <w:tcW w:w="6862" w:type="dxa"/>
            <w:hideMark/>
          </w:tcPr>
          <w:p w14:paraId="5DBEBD1C" w14:textId="77777777" w:rsidR="00A76372" w:rsidRDefault="00A76372" w:rsidP="002559B8">
            <w:pPr>
              <w:pStyle w:val="KUJKnormal"/>
            </w:pPr>
            <w:r>
              <w:t>Mgr. Pavla Doubková</w:t>
            </w:r>
          </w:p>
        </w:tc>
      </w:tr>
    </w:tbl>
    <w:p w14:paraId="6AB05EF6" w14:textId="77777777" w:rsidR="00A76372" w:rsidRDefault="00A76372" w:rsidP="008E074D">
      <w:pPr>
        <w:pStyle w:val="KUJKnormal"/>
      </w:pPr>
    </w:p>
    <w:p w14:paraId="0B37FA95" w14:textId="77777777" w:rsidR="00A76372" w:rsidRPr="0052161F" w:rsidRDefault="00A76372" w:rsidP="008E074D">
      <w:pPr>
        <w:pStyle w:val="KUJKtucny"/>
      </w:pPr>
      <w:r w:rsidRPr="0052161F">
        <w:t>NÁVRH USNESENÍ</w:t>
      </w:r>
    </w:p>
    <w:p w14:paraId="7D94D93A" w14:textId="77777777" w:rsidR="00A76372" w:rsidRDefault="00A76372" w:rsidP="008E074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25E81A0" w14:textId="77777777" w:rsidR="00A76372" w:rsidRPr="00841DFC" w:rsidRDefault="00A76372" w:rsidP="008E074D">
      <w:pPr>
        <w:pStyle w:val="KUJKPolozka"/>
        <w:spacing w:line="240" w:lineRule="auto"/>
      </w:pPr>
      <w:r w:rsidRPr="00841DFC">
        <w:t>Zastupitelstvo Jihočeského kraje</w:t>
      </w:r>
    </w:p>
    <w:p w14:paraId="0E9FC533" w14:textId="77777777" w:rsidR="00A76372" w:rsidRPr="00E10FE7" w:rsidRDefault="00A76372" w:rsidP="003A4A68">
      <w:pPr>
        <w:pStyle w:val="KUJKdoplnek2"/>
        <w:spacing w:line="240" w:lineRule="auto"/>
      </w:pPr>
      <w:r w:rsidRPr="00AF7BAE">
        <w:t>schvaluje</w:t>
      </w:r>
    </w:p>
    <w:p w14:paraId="225CE27D" w14:textId="77777777" w:rsidR="00A76372" w:rsidRPr="003A4A68" w:rsidRDefault="00A76372" w:rsidP="003A4A68">
      <w:pPr>
        <w:pStyle w:val="KUJKPolozka"/>
        <w:rPr>
          <w:b w:val="0"/>
          <w:bCs/>
        </w:rPr>
      </w:pPr>
      <w:bookmarkStart w:id="1" w:name="_Hlk218695530"/>
      <w:r w:rsidRPr="003A4A68">
        <w:rPr>
          <w:b w:val="0"/>
          <w:bCs/>
        </w:rPr>
        <w:t xml:space="preserve">dodatek č. 19 zřizovací listiny příspěvkové organizace Domov pro seniory Horní Stropnice, IČO </w:t>
      </w:r>
      <w:r w:rsidRPr="003A4A68">
        <w:rPr>
          <w:b w:val="0"/>
          <w:bCs/>
          <w:szCs w:val="20"/>
        </w:rPr>
        <w:t>00666254</w:t>
      </w:r>
      <w:r w:rsidRPr="003A4A68">
        <w:rPr>
          <w:b w:val="0"/>
          <w:bCs/>
        </w:rPr>
        <w:t>, uvedený v příloze č. 1 návrhu č.  </w:t>
      </w:r>
      <w:r>
        <w:rPr>
          <w:b w:val="0"/>
          <w:bCs/>
        </w:rPr>
        <w:t>135</w:t>
      </w:r>
      <w:r w:rsidRPr="003A4A68">
        <w:rPr>
          <w:b w:val="0"/>
          <w:bCs/>
        </w:rPr>
        <w:t>/</w:t>
      </w:r>
      <w:r>
        <w:rPr>
          <w:b w:val="0"/>
          <w:bCs/>
        </w:rPr>
        <w:t>Z</w:t>
      </w:r>
      <w:r w:rsidRPr="003A4A68">
        <w:rPr>
          <w:b w:val="0"/>
          <w:bCs/>
        </w:rPr>
        <w:t>K/26, jehož předmětem jsou změny ustanovení přílohy č. 1 zřizovací listiny, tj. rozsahu soupisu nemovitého majetku svěřeného k hospodaření uvedené příspěvkové organizaci</w:t>
      </w:r>
      <w:r>
        <w:rPr>
          <w:b w:val="0"/>
          <w:bCs/>
        </w:rPr>
        <w:t>;</w:t>
      </w:r>
    </w:p>
    <w:p w14:paraId="60698849" w14:textId="77777777" w:rsidR="00A76372" w:rsidRDefault="00A76372" w:rsidP="003A4A68">
      <w:pPr>
        <w:pStyle w:val="KUJKdoplnek2"/>
        <w:numPr>
          <w:ilvl w:val="1"/>
          <w:numId w:val="11"/>
        </w:numPr>
        <w:spacing w:line="240" w:lineRule="auto"/>
      </w:pPr>
      <w:r w:rsidRPr="00730306">
        <w:t>bere na vědomí</w:t>
      </w:r>
    </w:p>
    <w:p w14:paraId="4B9E3F2C" w14:textId="77777777" w:rsidR="00A76372" w:rsidRDefault="00A76372" w:rsidP="003A4A68">
      <w:pPr>
        <w:pStyle w:val="KUJKPolozka"/>
        <w:rPr>
          <w:b w:val="0"/>
          <w:bCs/>
        </w:rPr>
      </w:pPr>
      <w:r w:rsidRPr="003A4A68">
        <w:rPr>
          <w:b w:val="0"/>
          <w:bCs/>
        </w:rPr>
        <w:t>úplné znění zřizovací listiny příspěvkové organizace Domov pro seniory Horní Stropnice ve znění platném ke dni 23. 4. 2026, uvedené v příloze č. 2 návrhu č. </w:t>
      </w:r>
      <w:r>
        <w:rPr>
          <w:b w:val="0"/>
          <w:bCs/>
        </w:rPr>
        <w:t>135</w:t>
      </w:r>
      <w:r w:rsidRPr="003A4A68">
        <w:rPr>
          <w:b w:val="0"/>
          <w:bCs/>
        </w:rPr>
        <w:t>/</w:t>
      </w:r>
      <w:r>
        <w:rPr>
          <w:b w:val="0"/>
          <w:bCs/>
        </w:rPr>
        <w:t>Z</w:t>
      </w:r>
      <w:r w:rsidRPr="003A4A68">
        <w:rPr>
          <w:b w:val="0"/>
          <w:bCs/>
        </w:rPr>
        <w:t>K/26</w:t>
      </w:r>
      <w:bookmarkEnd w:id="1"/>
      <w:r>
        <w:rPr>
          <w:b w:val="0"/>
          <w:bCs/>
        </w:rPr>
        <w:t>.</w:t>
      </w:r>
    </w:p>
    <w:p w14:paraId="10EA4EFB" w14:textId="77777777" w:rsidR="00A76372" w:rsidRDefault="00A76372" w:rsidP="003A4A68">
      <w:pPr>
        <w:pStyle w:val="KUJKnormal"/>
      </w:pPr>
    </w:p>
    <w:p w14:paraId="07E4BE6A" w14:textId="77777777" w:rsidR="00A76372" w:rsidRDefault="00A76372" w:rsidP="003A4A68">
      <w:pPr>
        <w:pStyle w:val="KUJKnormal"/>
      </w:pPr>
    </w:p>
    <w:p w14:paraId="6D69AA11" w14:textId="77777777" w:rsidR="00A76372" w:rsidRDefault="00A76372" w:rsidP="003A4A68">
      <w:pPr>
        <w:pStyle w:val="KUJKmezeraDZ"/>
      </w:pPr>
      <w:bookmarkStart w:id="2" w:name="US_DuvodZprava"/>
      <w:bookmarkEnd w:id="2"/>
    </w:p>
    <w:p w14:paraId="09AE4BE9" w14:textId="77777777" w:rsidR="00A76372" w:rsidRDefault="00A76372" w:rsidP="003A4A68">
      <w:pPr>
        <w:pStyle w:val="KUJKnadpisDZ"/>
      </w:pPr>
      <w:r>
        <w:t>DŮVODOVÁ ZPRÁVA</w:t>
      </w:r>
    </w:p>
    <w:p w14:paraId="7EA2D553" w14:textId="77777777" w:rsidR="00A76372" w:rsidRPr="009B7B0B" w:rsidRDefault="00A76372" w:rsidP="003A4A68">
      <w:pPr>
        <w:pStyle w:val="KUJKmezeraDZ"/>
      </w:pPr>
    </w:p>
    <w:p w14:paraId="47DECD62" w14:textId="77777777" w:rsidR="00A76372" w:rsidRPr="00587DF7" w:rsidRDefault="00A76372" w:rsidP="00587DF7">
      <w:pPr>
        <w:pStyle w:val="KUJKnormal"/>
      </w:pPr>
      <w:r w:rsidRPr="00587DF7">
        <w:rPr>
          <w:bCs/>
        </w:rPr>
        <w:t>Návrh je předkládán v souladu s </w:t>
      </w:r>
      <w:r w:rsidRPr="00587DF7">
        <w:t xml:space="preserve">§ 59 </w:t>
      </w:r>
      <w:r w:rsidRPr="00587DF7">
        <w:rPr>
          <w:bCs/>
        </w:rPr>
        <w:t xml:space="preserve">zákona č. 129/2000 Sb., o krajích (krajské zřízení), ve znění pozdějších předpisů </w:t>
      </w:r>
      <w:r w:rsidRPr="00587DF7">
        <w:t>a v souladu se směrnicí č. SM/47/RK k řízení příspěvkových organizací zřizovaných krajem.</w:t>
      </w:r>
    </w:p>
    <w:p w14:paraId="497A08BC" w14:textId="77777777" w:rsidR="00A76372" w:rsidRPr="00587DF7" w:rsidRDefault="00A76372" w:rsidP="00587DF7">
      <w:pPr>
        <w:pStyle w:val="KUJKnormal"/>
      </w:pPr>
    </w:p>
    <w:p w14:paraId="69ADEFDB" w14:textId="77777777" w:rsidR="00A76372" w:rsidRPr="00587DF7" w:rsidRDefault="00A76372" w:rsidP="00587DF7">
      <w:pPr>
        <w:pStyle w:val="KUJKnormal"/>
      </w:pPr>
      <w:r w:rsidRPr="00587DF7">
        <w:t>Zastupitelstvo Jihočeského kraje svým usnesením č. 370/2025/ZK-9 ze dne 18. 12. 2025 schválilo koupi pozemkové parcely 540/2 o výměře 2746 m</w:t>
      </w:r>
      <w:r w:rsidRPr="00587DF7">
        <w:rPr>
          <w:vertAlign w:val="superscript"/>
        </w:rPr>
        <w:t>2</w:t>
      </w:r>
      <w:r w:rsidRPr="00587DF7">
        <w:t xml:space="preserve"> z výlučného vlastnictví obce Horní Stropnice, se sídlem Horní Stropnice 68, IČO 00244929 do vlastnictví Jihočeského kraje, za cenu 137 300 Kč + náklady spojené s koupí, dle návrhu kupní smlouvy v příloze č. 1 návrhu č. 389/ZK/25. Dále zastupitelstvo kraje schválilo předání uvedeného majetku k hospodaření se svěřeným majetkem Domovu pro seniory Horní Stropnice, IČO 00666254, zřizovanému krajem ke dni podání návrhu na vklad vlastnického práva z kupní smlouvy do katastru nemovitostí.</w:t>
      </w:r>
    </w:p>
    <w:p w14:paraId="50D7A369" w14:textId="77777777" w:rsidR="00A76372" w:rsidRPr="00587DF7" w:rsidRDefault="00A76372" w:rsidP="00587DF7">
      <w:pPr>
        <w:pStyle w:val="KUJKnormal"/>
      </w:pPr>
      <w:r w:rsidRPr="00587DF7">
        <w:t>Dne 13. 3. 2026 byl podán návrh na vklad vlastnického práva z kupní smlouvy č. SK/OHMS/139/25 k pozemku p. č. 540/2 v k. ú. Dobrá Voda u Horní Stropnice (nově vytvořená parcela oddělená z původní parcely 540 stejného k.ú.) do KN ve prospěch Jihočeského kraje. Dle usnesení Zastupitelstva kraje č. 370/2025/ZK-9 ze dne 18.12.2025 se nemovitost předává příspěvkové organizaci k hospodářskému využití dnem podání návrhu na vklad do katastru nemovitostí.</w:t>
      </w:r>
    </w:p>
    <w:p w14:paraId="7BA4E0D6" w14:textId="77777777" w:rsidR="00A76372" w:rsidRPr="00587DF7" w:rsidRDefault="00A76372" w:rsidP="00587DF7">
      <w:pPr>
        <w:pStyle w:val="KUJKnormal"/>
      </w:pPr>
      <w:r w:rsidRPr="00587DF7">
        <w:lastRenderedPageBreak/>
        <w:t>Vzhledem k tomu, že uvedené nemovitosti se tímto dnem stávají součástí svěřeného majetku Jihočeského kraje, rozšiřuje se rozsah majetku svěřeného Domovu pro seniory Horní Stropnice k hospodaření. Tato změna bude realizována formou dodatku ke zřizovací listině, kterým se z důvodu přehlednosti a jednoznačnosti nahrazuje příslušná příloha zřizovací listiny novým úplným zněním, nikoliv pouhým dílčím doplněním o předmětné nemovitosti, jimiž jsou:</w:t>
      </w:r>
    </w:p>
    <w:p w14:paraId="7F526EF2" w14:textId="77777777" w:rsidR="00A76372" w:rsidRPr="00587DF7" w:rsidRDefault="00A76372" w:rsidP="00587DF7">
      <w:pPr>
        <w:pStyle w:val="KUJKnormal"/>
      </w:pPr>
    </w:p>
    <w:p w14:paraId="187727D6" w14:textId="77777777" w:rsidR="00A76372" w:rsidRPr="00587DF7" w:rsidRDefault="00A76372" w:rsidP="00587DF7">
      <w:pPr>
        <w:pStyle w:val="KUJKnormal"/>
        <w:ind w:left="3540" w:firstLine="708"/>
        <w:rPr>
          <w:b/>
          <w:bCs/>
        </w:rPr>
      </w:pPr>
      <w:r w:rsidRPr="00587DF7">
        <w:rPr>
          <w:b/>
          <w:bCs/>
        </w:rPr>
        <w:t>Pozemky</w:t>
      </w:r>
    </w:p>
    <w:tbl>
      <w:tblPr>
        <w:tblW w:w="97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1"/>
        <w:gridCol w:w="3738"/>
        <w:gridCol w:w="1134"/>
        <w:gridCol w:w="2693"/>
      </w:tblGrid>
      <w:tr w:rsidR="00A76372" w:rsidRPr="00587DF7" w14:paraId="35F7DCFA" w14:textId="77777777">
        <w:trPr>
          <w:trHeight w:val="444"/>
          <w:jc w:val="center"/>
        </w:trPr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00234" w14:textId="77777777" w:rsidR="00A76372" w:rsidRPr="00587DF7" w:rsidRDefault="00A76372" w:rsidP="00587DF7">
            <w:pPr>
              <w:pStyle w:val="KUJKnormal"/>
              <w:rPr>
                <w:b/>
                <w:bCs/>
              </w:rPr>
            </w:pPr>
            <w:r w:rsidRPr="00587DF7">
              <w:rPr>
                <w:b/>
                <w:bCs/>
              </w:rPr>
              <w:t>Katastrální území</w:t>
            </w:r>
          </w:p>
        </w:tc>
        <w:tc>
          <w:tcPr>
            <w:tcW w:w="37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146FA" w14:textId="77777777" w:rsidR="00A76372" w:rsidRPr="00587DF7" w:rsidRDefault="00A76372" w:rsidP="00587DF7">
            <w:pPr>
              <w:pStyle w:val="KUJKnormal"/>
              <w:rPr>
                <w:b/>
                <w:bCs/>
              </w:rPr>
            </w:pPr>
            <w:r w:rsidRPr="00587DF7">
              <w:rPr>
                <w:b/>
                <w:bCs/>
              </w:rPr>
              <w:t>Druh pozemku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C69B" w14:textId="77777777" w:rsidR="00A76372" w:rsidRPr="00587DF7" w:rsidRDefault="00A76372" w:rsidP="00587DF7">
            <w:pPr>
              <w:pStyle w:val="KUJKnormal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CBDD5B" w14:textId="77777777" w:rsidR="00A76372" w:rsidRPr="00587DF7" w:rsidRDefault="00A76372" w:rsidP="00587DF7">
            <w:pPr>
              <w:pStyle w:val="KUJKnormal"/>
              <w:rPr>
                <w:b/>
                <w:bCs/>
              </w:rPr>
            </w:pPr>
            <w:r w:rsidRPr="00587DF7">
              <w:rPr>
                <w:b/>
                <w:bCs/>
              </w:rPr>
              <w:t>Parcelní číslo</w:t>
            </w:r>
          </w:p>
        </w:tc>
      </w:tr>
      <w:tr w:rsidR="00A76372" w:rsidRPr="00587DF7" w14:paraId="73CB22C8" w14:textId="77777777">
        <w:trPr>
          <w:trHeight w:val="280"/>
          <w:jc w:val="center"/>
        </w:trPr>
        <w:tc>
          <w:tcPr>
            <w:tcW w:w="974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E53266" w14:textId="77777777" w:rsidR="00A76372" w:rsidRPr="00587DF7" w:rsidRDefault="00A76372" w:rsidP="00587DF7">
            <w:pPr>
              <w:pStyle w:val="KUJKnormal"/>
              <w:rPr>
                <w:b/>
                <w:bCs/>
              </w:rPr>
            </w:pPr>
            <w:r w:rsidRPr="00587DF7">
              <w:rPr>
                <w:b/>
                <w:bCs/>
              </w:rPr>
              <w:t>Předání k hospodaření:</w:t>
            </w:r>
          </w:p>
        </w:tc>
      </w:tr>
      <w:tr w:rsidR="00A76372" w:rsidRPr="00587DF7" w14:paraId="5119AED0" w14:textId="77777777">
        <w:trPr>
          <w:trHeight w:val="280"/>
          <w:jc w:val="center"/>
        </w:trPr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2478B" w14:textId="77777777" w:rsidR="00A76372" w:rsidRPr="00587DF7" w:rsidRDefault="00A76372" w:rsidP="00587DF7">
            <w:pPr>
              <w:pStyle w:val="KUJKnormal"/>
            </w:pPr>
            <w:r w:rsidRPr="00587DF7">
              <w:t>Dobrá Voda u Horní Stropnice</w:t>
            </w:r>
          </w:p>
        </w:tc>
        <w:tc>
          <w:tcPr>
            <w:tcW w:w="37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F92AA" w14:textId="77777777" w:rsidR="00A76372" w:rsidRPr="00587DF7" w:rsidRDefault="00A76372" w:rsidP="00587DF7">
            <w:pPr>
              <w:pStyle w:val="KUJKnormal"/>
              <w:rPr>
                <w:b/>
                <w:bCs/>
              </w:rPr>
            </w:pPr>
            <w:r w:rsidRPr="00587DF7">
              <w:t>trvalý travní porost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A3E34" w14:textId="77777777" w:rsidR="00A76372" w:rsidRPr="00587DF7" w:rsidRDefault="00A76372" w:rsidP="00587DF7">
            <w:pPr>
              <w:pStyle w:val="KUJKnormal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A11E71" w14:textId="77777777" w:rsidR="00A76372" w:rsidRPr="00587DF7" w:rsidRDefault="00A76372" w:rsidP="00587DF7">
            <w:pPr>
              <w:pStyle w:val="KUJKnormal"/>
              <w:rPr>
                <w:b/>
                <w:bCs/>
              </w:rPr>
            </w:pPr>
            <w:r w:rsidRPr="00587DF7">
              <w:t>540/2</w:t>
            </w:r>
          </w:p>
        </w:tc>
      </w:tr>
    </w:tbl>
    <w:p w14:paraId="615452A1" w14:textId="77777777" w:rsidR="00A76372" w:rsidRPr="00587DF7" w:rsidRDefault="00A76372" w:rsidP="00587DF7">
      <w:pPr>
        <w:pStyle w:val="KUJKnormal"/>
      </w:pPr>
    </w:p>
    <w:p w14:paraId="7AF2C7FF" w14:textId="77777777" w:rsidR="00A76372" w:rsidRPr="00587DF7" w:rsidRDefault="00A76372" w:rsidP="00587DF7">
      <w:pPr>
        <w:pStyle w:val="KUJKnormal"/>
      </w:pPr>
      <w:bookmarkStart w:id="3" w:name="_Hlk214525440"/>
      <w:r>
        <w:t xml:space="preserve">Rada Jihočeského kraje svým usnesením č. 425/2026/RK-36 ze dne 9. 4. 226 doporučila zastupitelstvu kraje schválit </w:t>
      </w:r>
      <w:r w:rsidRPr="00587DF7">
        <w:t xml:space="preserve">Dodatek </w:t>
      </w:r>
      <w:bookmarkEnd w:id="3"/>
      <w:r w:rsidRPr="00587DF7">
        <w:t>č. 19 zřizovací listiny příspěvkové organizace Domov pro seniory Horní Stropnice</w:t>
      </w:r>
      <w:r>
        <w:t xml:space="preserve">. Dále doporučila zastupitelstvu kraje vzít na vědomí </w:t>
      </w:r>
      <w:r w:rsidRPr="00587DF7">
        <w:t>úplné znění zřizovací listiny příspěvkové organizace Domov pro seniory Horní Stropnice ve znění platném ke dni 23. 4. 2026</w:t>
      </w:r>
      <w:r>
        <w:t>.</w:t>
      </w:r>
    </w:p>
    <w:p w14:paraId="4EEF75DA" w14:textId="77777777" w:rsidR="00A76372" w:rsidRPr="003A4A68" w:rsidRDefault="00A76372" w:rsidP="003A4A68">
      <w:pPr>
        <w:pStyle w:val="KUJKnormal"/>
      </w:pPr>
    </w:p>
    <w:p w14:paraId="5388FB8B" w14:textId="77777777" w:rsidR="00A76372" w:rsidRDefault="00A76372" w:rsidP="008E074D">
      <w:pPr>
        <w:pStyle w:val="KUJKnormal"/>
      </w:pPr>
    </w:p>
    <w:p w14:paraId="4926EB0C" w14:textId="77777777" w:rsidR="00A76372" w:rsidRDefault="00A76372" w:rsidP="008E074D">
      <w:pPr>
        <w:pStyle w:val="KUJKnormal"/>
      </w:pPr>
      <w:r>
        <w:t>Finanční nároky a krytí: Nemá nároky na rozpočet kraje.</w:t>
      </w:r>
    </w:p>
    <w:p w14:paraId="7514063F" w14:textId="77777777" w:rsidR="00A76372" w:rsidRDefault="00A76372" w:rsidP="008E074D">
      <w:pPr>
        <w:pStyle w:val="KUJKnormal"/>
      </w:pPr>
      <w:r>
        <w:t>Vyjádření správce rozpočtu: Nebylo vyžádáno.</w:t>
      </w:r>
    </w:p>
    <w:p w14:paraId="1C408564" w14:textId="77777777" w:rsidR="00A76372" w:rsidRPr="00587DF7" w:rsidRDefault="00A76372" w:rsidP="00587DF7">
      <w:pPr>
        <w:pStyle w:val="KUJKnormal"/>
      </w:pPr>
      <w:r>
        <w:t xml:space="preserve">Návrh projednán (stanoviska): </w:t>
      </w:r>
      <w:r w:rsidRPr="00587DF7">
        <w:t>Podoba dodatku a ÚZ ZL projednány s OIAK.</w:t>
      </w:r>
    </w:p>
    <w:p w14:paraId="724A1362" w14:textId="77777777" w:rsidR="00A76372" w:rsidRPr="00A521E1" w:rsidRDefault="00A76372" w:rsidP="00152E0E">
      <w:pPr>
        <w:pStyle w:val="KUJKnormal"/>
      </w:pPr>
      <w:r>
        <w:t>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1ED69070" w14:textId="77777777" w:rsidR="00A76372" w:rsidRDefault="00A76372" w:rsidP="008E074D">
      <w:pPr>
        <w:pStyle w:val="KUJKnormal"/>
      </w:pPr>
    </w:p>
    <w:p w14:paraId="286FD9A7" w14:textId="77777777" w:rsidR="00A76372" w:rsidRDefault="00A76372" w:rsidP="008E074D">
      <w:pPr>
        <w:pStyle w:val="KUJKnormal"/>
      </w:pPr>
    </w:p>
    <w:p w14:paraId="65FDA1A6" w14:textId="77777777" w:rsidR="00A76372" w:rsidRDefault="00A76372" w:rsidP="008E074D">
      <w:pPr>
        <w:pStyle w:val="KUJKnormal"/>
      </w:pPr>
    </w:p>
    <w:p w14:paraId="4E2F502B" w14:textId="77777777" w:rsidR="00A76372" w:rsidRPr="007939A8" w:rsidRDefault="00A76372" w:rsidP="008E074D">
      <w:pPr>
        <w:pStyle w:val="KUJKtucny"/>
      </w:pPr>
      <w:r w:rsidRPr="007939A8">
        <w:t>PŘÍLOHY:</w:t>
      </w:r>
    </w:p>
    <w:p w14:paraId="08236CEC" w14:textId="77777777" w:rsidR="00A76372" w:rsidRPr="00B52AA9" w:rsidRDefault="00A76372" w:rsidP="00192C79">
      <w:pPr>
        <w:pStyle w:val="KUJKcislovany"/>
        <w:spacing w:line="240" w:lineRule="auto"/>
      </w:pPr>
      <w:r>
        <w:t>Dodatek ke Zřizovací listině Domova pro seniory Horní Stropnice</w:t>
      </w:r>
      <w:r w:rsidRPr="0081756D">
        <w:t xml:space="preserve"> (</w:t>
      </w:r>
      <w:r>
        <w:t>př.1_Dodatek č. 19_ZL H. Stropnice.docx</w:t>
      </w:r>
      <w:r w:rsidRPr="0081756D">
        <w:t>)</w:t>
      </w:r>
    </w:p>
    <w:p w14:paraId="52165168" w14:textId="77777777" w:rsidR="00A76372" w:rsidRPr="00B52AA9" w:rsidRDefault="00A76372" w:rsidP="00192C79">
      <w:pPr>
        <w:pStyle w:val="KUJKcislovany"/>
        <w:spacing w:line="240" w:lineRule="auto"/>
      </w:pPr>
      <w:r>
        <w:t>Úplné znění ZL Domova pro seniory Horní Stropnice</w:t>
      </w:r>
      <w:r w:rsidRPr="0081756D">
        <w:t xml:space="preserve"> (</w:t>
      </w:r>
      <w:r>
        <w:t>př. 2_Úplné znění ZL DS H. Stropnice.docx</w:t>
      </w:r>
      <w:r w:rsidRPr="0081756D">
        <w:t>)</w:t>
      </w:r>
    </w:p>
    <w:p w14:paraId="3D3DDB0C" w14:textId="77777777" w:rsidR="00A76372" w:rsidRDefault="00A76372" w:rsidP="008E074D">
      <w:pPr>
        <w:pStyle w:val="KUJKnormal"/>
      </w:pPr>
    </w:p>
    <w:p w14:paraId="09093427" w14:textId="77777777" w:rsidR="00A76372" w:rsidRDefault="00A76372" w:rsidP="008E074D">
      <w:pPr>
        <w:pStyle w:val="KUJKnormal"/>
      </w:pPr>
    </w:p>
    <w:p w14:paraId="41227903" w14:textId="77777777" w:rsidR="00A76372" w:rsidRPr="007C1EE7" w:rsidRDefault="00A76372" w:rsidP="008E074D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62892E72" w14:textId="77777777" w:rsidR="00A76372" w:rsidRDefault="00A76372" w:rsidP="008E074D">
      <w:pPr>
        <w:pStyle w:val="KUJKnormal"/>
      </w:pPr>
    </w:p>
    <w:p w14:paraId="43C7BAC2" w14:textId="77777777" w:rsidR="00A76372" w:rsidRDefault="00A76372" w:rsidP="008E074D">
      <w:pPr>
        <w:pStyle w:val="KUJKnormal"/>
      </w:pPr>
      <w:r>
        <w:t>Termín kontroly: 31. 5. 2026</w:t>
      </w:r>
    </w:p>
    <w:p w14:paraId="60547B2B" w14:textId="77777777" w:rsidR="00A76372" w:rsidRDefault="00A76372" w:rsidP="008E074D">
      <w:pPr>
        <w:pStyle w:val="KUJKnormal"/>
      </w:pPr>
      <w:r>
        <w:t>Termín splnění: 31. 5. 2026</w:t>
      </w:r>
    </w:p>
    <w:p w14:paraId="24060088" w14:textId="77777777" w:rsidR="00A76372" w:rsidRPr="00BB6565" w:rsidRDefault="00A76372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D0888" w14:textId="77777777" w:rsidR="002F2978" w:rsidRDefault="002F2978" w:rsidP="002C5539">
      <w:r>
        <w:separator/>
      </w:r>
    </w:p>
  </w:endnote>
  <w:endnote w:type="continuationSeparator" w:id="0">
    <w:p w14:paraId="49E89B3D" w14:textId="77777777" w:rsidR="002F2978" w:rsidRDefault="002F2978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2F297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2F297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1D247" w14:textId="77777777" w:rsidR="002F2978" w:rsidRDefault="002F2978" w:rsidP="002C5539">
      <w:r>
        <w:separator/>
      </w:r>
    </w:p>
  </w:footnote>
  <w:footnote w:type="continuationSeparator" w:id="0">
    <w:p w14:paraId="72A5E81F" w14:textId="77777777" w:rsidR="002F2978" w:rsidRDefault="002F2978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FA1D2" w14:textId="77777777" w:rsidR="00A76372" w:rsidRDefault="00A76372" w:rsidP="00A76372">
    <w:r>
      <w:rPr>
        <w:noProof/>
      </w:rPr>
      <w:pict w14:anchorId="27D1F93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4671A80" w14:textId="77777777" w:rsidR="00A76372" w:rsidRPr="00D405BE" w:rsidRDefault="00A76372" w:rsidP="00A76372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2707938" w14:textId="77777777" w:rsidR="00A76372" w:rsidRPr="00D405BE" w:rsidRDefault="00A76372" w:rsidP="00A76372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685CD4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6213E7D">
        <v:rect id="_x0000_i1026" style="width:481.9pt;height:2pt" o:hralign="center" o:hrstd="t" o:hrnoshade="t" o:hr="t" fillcolor="black" stroked="f"/>
      </w:pict>
    </w:r>
  </w:p>
  <w:p w14:paraId="333DB679" w14:textId="77777777" w:rsidR="00A76372" w:rsidRPr="00A76372" w:rsidRDefault="00A76372" w:rsidP="00A763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460340516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978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425D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6372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2026-04-24T11:37:00Z</dcterms:created>
  <dcterms:modified xsi:type="dcterms:W3CDTF">2026-04-24T11:37:00Z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7051444</vt:i4>
  </property>
  <property fmtid="{D5CDD505-2E9C-101B-9397-08002B2CF9AE}" pid="5" name="UlozitJako">
    <vt:lpwstr>C:\Users\mrazkova\AppData\Local\Temp\iU89103336\Zastupitelstvo\2026-04-23\Navrhy\135-ZK-26.</vt:lpwstr>
  </property>
  <property fmtid="{D5CDD505-2E9C-101B-9397-08002B2CF9AE}" pid="6" name="Zpracovat">
    <vt:bool>false</vt:bool>
  </property>
</Properties>
</file>