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A3AFA" w14:paraId="15970756" w14:textId="77777777" w:rsidTr="002262D0">
        <w:trPr>
          <w:trHeight w:hRule="exact" w:val="397"/>
        </w:trPr>
        <w:tc>
          <w:tcPr>
            <w:tcW w:w="2376" w:type="dxa"/>
            <w:hideMark/>
          </w:tcPr>
          <w:p w14:paraId="7DF46F76" w14:textId="77777777" w:rsidR="00CA3AFA" w:rsidRDefault="00CA3AFA" w:rsidP="00970720">
            <w:pPr>
              <w:pStyle w:val="KUJKtucny"/>
            </w:pPr>
            <w:r>
              <w:t>Datum jednání:</w:t>
            </w:r>
          </w:p>
        </w:tc>
        <w:tc>
          <w:tcPr>
            <w:tcW w:w="3828" w:type="dxa"/>
            <w:hideMark/>
          </w:tcPr>
          <w:p w14:paraId="2564F6C2" w14:textId="77777777" w:rsidR="00CA3AFA" w:rsidRDefault="00CA3AFA" w:rsidP="00970720">
            <w:pPr>
              <w:pStyle w:val="KUJKnormal"/>
            </w:pPr>
            <w:r>
              <w:t>19. 02. 2026</w:t>
            </w:r>
          </w:p>
        </w:tc>
        <w:tc>
          <w:tcPr>
            <w:tcW w:w="2126" w:type="dxa"/>
            <w:hideMark/>
          </w:tcPr>
          <w:p w14:paraId="2D5B31BE" w14:textId="77777777" w:rsidR="00CA3AFA" w:rsidRDefault="00CA3AFA" w:rsidP="00970720">
            <w:pPr>
              <w:pStyle w:val="KUJKtucny"/>
            </w:pPr>
            <w:r>
              <w:t xml:space="preserve">Bod programu: </w:t>
            </w:r>
            <w:r w:rsidRPr="00502C93">
              <w:rPr>
                <w:sz w:val="28"/>
              </w:rPr>
              <w:t>31</w:t>
            </w:r>
          </w:p>
        </w:tc>
        <w:tc>
          <w:tcPr>
            <w:tcW w:w="850" w:type="dxa"/>
          </w:tcPr>
          <w:p w14:paraId="1E900185" w14:textId="77777777" w:rsidR="00CA3AFA" w:rsidRDefault="00CA3AFA" w:rsidP="00970720">
            <w:pPr>
              <w:pStyle w:val="KUJKnormal"/>
            </w:pPr>
          </w:p>
        </w:tc>
      </w:tr>
      <w:tr w:rsidR="00CA3AFA" w14:paraId="367B84AE" w14:textId="77777777" w:rsidTr="002262D0">
        <w:trPr>
          <w:cantSplit/>
          <w:trHeight w:hRule="exact" w:val="397"/>
        </w:trPr>
        <w:tc>
          <w:tcPr>
            <w:tcW w:w="2376" w:type="dxa"/>
            <w:hideMark/>
          </w:tcPr>
          <w:p w14:paraId="5E0134AC" w14:textId="77777777" w:rsidR="00CA3AFA" w:rsidRDefault="00CA3AFA" w:rsidP="00970720">
            <w:pPr>
              <w:pStyle w:val="KUJKtucny"/>
            </w:pPr>
            <w:r>
              <w:t>Číslo návrhu:</w:t>
            </w:r>
          </w:p>
        </w:tc>
        <w:tc>
          <w:tcPr>
            <w:tcW w:w="6804" w:type="dxa"/>
            <w:gridSpan w:val="3"/>
            <w:hideMark/>
          </w:tcPr>
          <w:p w14:paraId="6F4EA0CB" w14:textId="77777777" w:rsidR="00CA3AFA" w:rsidRDefault="00CA3AFA" w:rsidP="00970720">
            <w:pPr>
              <w:pStyle w:val="KUJKnormal"/>
            </w:pPr>
            <w:r>
              <w:t>52/ZK/26</w:t>
            </w:r>
          </w:p>
        </w:tc>
      </w:tr>
      <w:tr w:rsidR="00CA3AFA" w14:paraId="792F4DC8" w14:textId="77777777" w:rsidTr="002262D0">
        <w:trPr>
          <w:trHeight w:val="397"/>
        </w:trPr>
        <w:tc>
          <w:tcPr>
            <w:tcW w:w="2376" w:type="dxa"/>
          </w:tcPr>
          <w:p w14:paraId="3B9DE7A5" w14:textId="77777777" w:rsidR="00CA3AFA" w:rsidRDefault="00CA3AFA" w:rsidP="00970720"/>
          <w:p w14:paraId="33CC7604" w14:textId="77777777" w:rsidR="00CA3AFA" w:rsidRDefault="00CA3AFA" w:rsidP="00970720">
            <w:pPr>
              <w:pStyle w:val="KUJKtucny"/>
            </w:pPr>
            <w:r>
              <w:t>Název bodu:</w:t>
            </w:r>
          </w:p>
        </w:tc>
        <w:tc>
          <w:tcPr>
            <w:tcW w:w="6804" w:type="dxa"/>
            <w:gridSpan w:val="3"/>
          </w:tcPr>
          <w:p w14:paraId="45D83F76" w14:textId="77777777" w:rsidR="00CA3AFA" w:rsidRDefault="00CA3AFA" w:rsidP="00970720"/>
          <w:p w14:paraId="14075AB3" w14:textId="77777777" w:rsidR="00CA3AFA" w:rsidRDefault="00CA3AFA" w:rsidP="00970720">
            <w:pPr>
              <w:pStyle w:val="KUJKtucny"/>
              <w:rPr>
                <w:sz w:val="22"/>
                <w:szCs w:val="22"/>
              </w:rPr>
            </w:pPr>
            <w:r>
              <w:rPr>
                <w:sz w:val="22"/>
                <w:szCs w:val="22"/>
              </w:rPr>
              <w:t>Výroční zpráva o stavu a rozvoji vzdělávací soustavy v Jihočeském kraji za školní rok 2024/2025</w:t>
            </w:r>
          </w:p>
        </w:tc>
      </w:tr>
    </w:tbl>
    <w:p w14:paraId="26C7D9CF" w14:textId="77777777" w:rsidR="00CA3AFA" w:rsidRDefault="00CA3AFA" w:rsidP="002262D0">
      <w:pPr>
        <w:pStyle w:val="KUJKnormal"/>
        <w:rPr>
          <w:b/>
          <w:bCs/>
        </w:rPr>
      </w:pPr>
      <w:r>
        <w:rPr>
          <w:b/>
          <w:bCs/>
        </w:rPr>
        <w:pict w14:anchorId="308BCAEB">
          <v:rect id="_x0000_i1029" style="width:453.6pt;height:1.5pt" o:hralign="center" o:hrstd="t" o:hrnoshade="t" o:hr="t" fillcolor="black" stroked="f"/>
        </w:pict>
      </w:r>
    </w:p>
    <w:p w14:paraId="5BFBA041" w14:textId="77777777" w:rsidR="00CA3AFA" w:rsidRDefault="00CA3AFA" w:rsidP="002262D0">
      <w:pPr>
        <w:pStyle w:val="KUJKnormal"/>
      </w:pPr>
    </w:p>
    <w:p w14:paraId="5F3FD772" w14:textId="77777777" w:rsidR="00CA3AFA" w:rsidRDefault="00CA3AFA" w:rsidP="002262D0"/>
    <w:tbl>
      <w:tblPr>
        <w:tblW w:w="0" w:type="auto"/>
        <w:tblCellMar>
          <w:left w:w="70" w:type="dxa"/>
          <w:right w:w="70" w:type="dxa"/>
        </w:tblCellMar>
        <w:tblLook w:val="04A0" w:firstRow="1" w:lastRow="0" w:firstColumn="1" w:lastColumn="0" w:noHBand="0" w:noVBand="1"/>
      </w:tblPr>
      <w:tblGrid>
        <w:gridCol w:w="2350"/>
        <w:gridCol w:w="6862"/>
      </w:tblGrid>
      <w:tr w:rsidR="00CA3AFA" w14:paraId="1CEFFAF7" w14:textId="77777777" w:rsidTr="002559B8">
        <w:trPr>
          <w:trHeight w:val="397"/>
        </w:trPr>
        <w:tc>
          <w:tcPr>
            <w:tcW w:w="2350" w:type="dxa"/>
            <w:hideMark/>
          </w:tcPr>
          <w:p w14:paraId="2F391797" w14:textId="77777777" w:rsidR="00CA3AFA" w:rsidRDefault="00CA3AFA" w:rsidP="002559B8">
            <w:pPr>
              <w:pStyle w:val="KUJKtucny"/>
            </w:pPr>
            <w:r>
              <w:t>Předkladatel:</w:t>
            </w:r>
          </w:p>
        </w:tc>
        <w:tc>
          <w:tcPr>
            <w:tcW w:w="6862" w:type="dxa"/>
          </w:tcPr>
          <w:p w14:paraId="3C4ADA44" w14:textId="77777777" w:rsidR="00CA3AFA" w:rsidRDefault="00CA3AFA" w:rsidP="002559B8">
            <w:pPr>
              <w:pStyle w:val="KUJKnormal"/>
            </w:pPr>
            <w:r>
              <w:t>Ing. David Štojdl</w:t>
            </w:r>
          </w:p>
          <w:p w14:paraId="1EA43773" w14:textId="77777777" w:rsidR="00CA3AFA" w:rsidRDefault="00CA3AFA" w:rsidP="002559B8"/>
        </w:tc>
      </w:tr>
      <w:tr w:rsidR="00CA3AFA" w14:paraId="0E2E500E" w14:textId="77777777" w:rsidTr="002559B8">
        <w:trPr>
          <w:trHeight w:val="397"/>
        </w:trPr>
        <w:tc>
          <w:tcPr>
            <w:tcW w:w="2350" w:type="dxa"/>
          </w:tcPr>
          <w:p w14:paraId="3D7B9472" w14:textId="77777777" w:rsidR="00CA3AFA" w:rsidRDefault="00CA3AFA" w:rsidP="002559B8">
            <w:pPr>
              <w:pStyle w:val="KUJKtucny"/>
            </w:pPr>
            <w:r>
              <w:t>Zpracoval:</w:t>
            </w:r>
          </w:p>
          <w:p w14:paraId="48FAB487" w14:textId="77777777" w:rsidR="00CA3AFA" w:rsidRDefault="00CA3AFA" w:rsidP="002559B8"/>
        </w:tc>
        <w:tc>
          <w:tcPr>
            <w:tcW w:w="6862" w:type="dxa"/>
            <w:hideMark/>
          </w:tcPr>
          <w:p w14:paraId="54EC7416" w14:textId="77777777" w:rsidR="00CA3AFA" w:rsidRDefault="00CA3AFA" w:rsidP="002559B8">
            <w:pPr>
              <w:pStyle w:val="KUJKnormal"/>
            </w:pPr>
            <w:r>
              <w:t>OSMT</w:t>
            </w:r>
          </w:p>
        </w:tc>
      </w:tr>
      <w:tr w:rsidR="00CA3AFA" w14:paraId="17191C39" w14:textId="77777777" w:rsidTr="002559B8">
        <w:trPr>
          <w:trHeight w:val="397"/>
        </w:trPr>
        <w:tc>
          <w:tcPr>
            <w:tcW w:w="2350" w:type="dxa"/>
          </w:tcPr>
          <w:p w14:paraId="21C1D752" w14:textId="77777777" w:rsidR="00CA3AFA" w:rsidRPr="009715F9" w:rsidRDefault="00CA3AFA" w:rsidP="002559B8">
            <w:pPr>
              <w:pStyle w:val="KUJKnormal"/>
              <w:rPr>
                <w:b/>
              </w:rPr>
            </w:pPr>
            <w:r w:rsidRPr="009715F9">
              <w:rPr>
                <w:b/>
              </w:rPr>
              <w:t>Vedoucí odboru:</w:t>
            </w:r>
          </w:p>
          <w:p w14:paraId="246E1B0A" w14:textId="77777777" w:rsidR="00CA3AFA" w:rsidRDefault="00CA3AFA" w:rsidP="002559B8"/>
        </w:tc>
        <w:tc>
          <w:tcPr>
            <w:tcW w:w="6862" w:type="dxa"/>
            <w:hideMark/>
          </w:tcPr>
          <w:p w14:paraId="2F101597" w14:textId="77777777" w:rsidR="00CA3AFA" w:rsidRDefault="00CA3AFA" w:rsidP="002559B8">
            <w:pPr>
              <w:pStyle w:val="KUJKnormal"/>
            </w:pPr>
            <w:r>
              <w:t>Ing. Hana Šímová</w:t>
            </w:r>
          </w:p>
        </w:tc>
      </w:tr>
    </w:tbl>
    <w:p w14:paraId="395C6C6E" w14:textId="77777777" w:rsidR="00CA3AFA" w:rsidRDefault="00CA3AFA" w:rsidP="002262D0">
      <w:pPr>
        <w:pStyle w:val="KUJKnormal"/>
      </w:pPr>
    </w:p>
    <w:p w14:paraId="29B89ADE" w14:textId="77777777" w:rsidR="00CA3AFA" w:rsidRPr="0052161F" w:rsidRDefault="00CA3AFA" w:rsidP="002262D0">
      <w:pPr>
        <w:pStyle w:val="KUJKtucny"/>
      </w:pPr>
      <w:r w:rsidRPr="0052161F">
        <w:t>NÁVRH USNESENÍ</w:t>
      </w:r>
    </w:p>
    <w:p w14:paraId="2A1A077F" w14:textId="77777777" w:rsidR="00CA3AFA" w:rsidRDefault="00CA3AFA" w:rsidP="002262D0">
      <w:pPr>
        <w:pStyle w:val="KUJKnormal"/>
        <w:rPr>
          <w:rFonts w:ascii="Calibri" w:hAnsi="Calibri" w:cs="Calibri"/>
          <w:sz w:val="12"/>
          <w:szCs w:val="12"/>
        </w:rPr>
      </w:pPr>
      <w:bookmarkStart w:id="0" w:name="US_ZaVeVeci"/>
      <w:bookmarkEnd w:id="0"/>
    </w:p>
    <w:p w14:paraId="439E6C9A" w14:textId="77777777" w:rsidR="00CA3AFA" w:rsidRPr="00841DFC" w:rsidRDefault="00CA3AFA" w:rsidP="002262D0">
      <w:pPr>
        <w:pStyle w:val="KUJKPolozka"/>
        <w:spacing w:line="240" w:lineRule="auto"/>
      </w:pPr>
      <w:r w:rsidRPr="00841DFC">
        <w:t>Zastupitelstvo Jihočeského kraje</w:t>
      </w:r>
    </w:p>
    <w:p w14:paraId="2FB92524" w14:textId="77777777" w:rsidR="00CA3AFA" w:rsidRDefault="00CA3AFA" w:rsidP="003971B9">
      <w:pPr>
        <w:pStyle w:val="KUJKdoplnek2"/>
        <w:numPr>
          <w:ilvl w:val="0"/>
          <w:numId w:val="0"/>
        </w:numPr>
        <w:spacing w:line="240" w:lineRule="auto"/>
        <w:ind w:left="360" w:hanging="360"/>
      </w:pPr>
      <w:r w:rsidRPr="00730306">
        <w:t>bere na vědomí</w:t>
      </w:r>
    </w:p>
    <w:p w14:paraId="6CD29DB5" w14:textId="77777777" w:rsidR="00CA3AFA" w:rsidRDefault="00CA3AFA" w:rsidP="003971B9">
      <w:pPr>
        <w:pStyle w:val="KUJKnormal"/>
      </w:pPr>
      <w:r>
        <w:t>Výroční zprávu o stavu a rozvoji vzdělávací soustavy v Jihočeském kraji za školní rok 2024/2025 dle přílohy a důvodové zprávy návrhu č. 52/ZK/26.</w:t>
      </w:r>
    </w:p>
    <w:p w14:paraId="66F91B78" w14:textId="77777777" w:rsidR="00CA3AFA" w:rsidRDefault="00CA3AFA" w:rsidP="003971B9">
      <w:pPr>
        <w:pStyle w:val="KUJKnormal"/>
      </w:pPr>
    </w:p>
    <w:p w14:paraId="7D9FA807" w14:textId="77777777" w:rsidR="00CA3AFA" w:rsidRDefault="00CA3AFA" w:rsidP="003971B9">
      <w:pPr>
        <w:pStyle w:val="KUJKnormal"/>
      </w:pPr>
    </w:p>
    <w:p w14:paraId="70FE01C9" w14:textId="77777777" w:rsidR="00CA3AFA" w:rsidRDefault="00CA3AFA" w:rsidP="003971B9">
      <w:pPr>
        <w:pStyle w:val="KUJKmezeraDZ"/>
      </w:pPr>
      <w:bookmarkStart w:id="1" w:name="US_DuvodZprava"/>
      <w:bookmarkEnd w:id="1"/>
    </w:p>
    <w:p w14:paraId="5B9775ED" w14:textId="77777777" w:rsidR="00CA3AFA" w:rsidRDefault="00CA3AFA" w:rsidP="003971B9">
      <w:pPr>
        <w:pStyle w:val="KUJKnadpisDZ"/>
      </w:pPr>
      <w:r>
        <w:t>DŮVODOVÁ ZPRÁVA</w:t>
      </w:r>
    </w:p>
    <w:p w14:paraId="5C93F351" w14:textId="77777777" w:rsidR="00CA3AFA" w:rsidRPr="009B7B0B" w:rsidRDefault="00CA3AFA" w:rsidP="003971B9">
      <w:pPr>
        <w:pStyle w:val="KUJKmezeraDZ"/>
      </w:pPr>
    </w:p>
    <w:p w14:paraId="32EA4BAF" w14:textId="77777777" w:rsidR="00CA3AFA" w:rsidRPr="00C67C57" w:rsidRDefault="00CA3AFA" w:rsidP="00C67C57">
      <w:pPr>
        <w:pStyle w:val="KUJKnormal"/>
        <w:rPr>
          <w:szCs w:val="20"/>
        </w:rPr>
      </w:pPr>
      <w:r w:rsidRPr="00C67C57">
        <w:rPr>
          <w:szCs w:val="20"/>
        </w:rPr>
        <w:t xml:space="preserve">V souladu s § 10 odst. 2 a § 11 zákona č. 561/2004 Sb., o předškolním, základním, středním, vyšším odborném a jiném vzdělávání (školský zákon), v platném znění, s § 18 zákona č. 106/1999 Sb., o svobodném přístupu k informacím, v platném znění, zpracovává odbor školství, mládeže a tělovýchovy každoročně výroční zprávu o stavu a rozvoji vzdělávací soustavy v kraji (dále jen výroční zpráva). </w:t>
      </w:r>
    </w:p>
    <w:p w14:paraId="61664992" w14:textId="77777777" w:rsidR="00CA3AFA" w:rsidRPr="00C67C57" w:rsidRDefault="00CA3AFA" w:rsidP="00C67C57">
      <w:pPr>
        <w:pStyle w:val="KUJKnormal"/>
        <w:rPr>
          <w:szCs w:val="20"/>
        </w:rPr>
      </w:pPr>
    </w:p>
    <w:p w14:paraId="2C214D71" w14:textId="77777777" w:rsidR="00CA3AFA" w:rsidRPr="00C67C57" w:rsidRDefault="00CA3AFA" w:rsidP="00C67C57">
      <w:pPr>
        <w:pStyle w:val="KUJKnormal"/>
        <w:spacing w:before="120"/>
        <w:rPr>
          <w:szCs w:val="20"/>
        </w:rPr>
      </w:pPr>
      <w:r w:rsidRPr="00C67C57">
        <w:rPr>
          <w:szCs w:val="20"/>
        </w:rPr>
        <w:t>Výroční zpráva je předkládána radě a zastupitelstvu kraje k vzetí na vědomí. Poté v souladu se školským zákonem a vyhláškou MŠMT č. 15/2005 Sb., kterou se stanoví náležitosti dlouhodobých záměrů a výročních zpráv, bude zaslána na MŠMT, nejpozději do 31. 3. 2026, a zveřejněna způsobem umožňujícím dálkový přístup, tedy na webových stránkách kraje. Jedná se o soubor analytických, statistických a výkonových ukazatelů za školní rok 2024/2025 dle stanovené osnovy dané výše uvedenou vyhláškou MŠMT.</w:t>
      </w:r>
    </w:p>
    <w:p w14:paraId="14A4B501" w14:textId="77777777" w:rsidR="00CA3AFA" w:rsidRPr="00C67C57" w:rsidRDefault="00CA3AFA" w:rsidP="00C67C57">
      <w:pPr>
        <w:pStyle w:val="KUJKnormal"/>
        <w:rPr>
          <w:szCs w:val="20"/>
        </w:rPr>
      </w:pPr>
    </w:p>
    <w:p w14:paraId="0DC0AFBF" w14:textId="77777777" w:rsidR="00CA3AFA" w:rsidRPr="00C67C57" w:rsidRDefault="00CA3AFA" w:rsidP="00C67C57">
      <w:pPr>
        <w:pStyle w:val="KUJKnormal"/>
        <w:rPr>
          <w:szCs w:val="20"/>
        </w:rPr>
      </w:pPr>
      <w:r w:rsidRPr="00C67C57">
        <w:rPr>
          <w:szCs w:val="20"/>
        </w:rPr>
        <w:t xml:space="preserve">Výroční zpráva je rozdělena do několika částí, které spolu úzce souvisejí. První kapitolou je demografická analýza, která je důležitá pro vyhodnocování a prognózu dalšího rozvoje v oblasti vzdělávání a je výchozím bodem pro další kapitoly. Ve druhé kapitole jsou postupně popsány jednotlivé segmenty vzdělávací soustavy od předškolního vzdělávání po vyšší odborné vzdělávání, včetně speciálního a zájmového vzdělávání, a dále pak školská zařízení a další oblasti související se vzděláváním. </w:t>
      </w:r>
    </w:p>
    <w:p w14:paraId="3422F7B2" w14:textId="77777777" w:rsidR="00CA3AFA" w:rsidRPr="00C67C57" w:rsidRDefault="00CA3AFA" w:rsidP="00C67C57">
      <w:pPr>
        <w:pStyle w:val="KUJKnormal"/>
        <w:rPr>
          <w:szCs w:val="20"/>
        </w:rPr>
      </w:pPr>
    </w:p>
    <w:p w14:paraId="3C85422E" w14:textId="77777777" w:rsidR="00CA3AFA" w:rsidRPr="00C67C57" w:rsidRDefault="00CA3AFA" w:rsidP="00C67C57">
      <w:pPr>
        <w:pStyle w:val="KUJKnormal"/>
        <w:rPr>
          <w:szCs w:val="20"/>
        </w:rPr>
      </w:pPr>
      <w:r w:rsidRPr="00C67C57">
        <w:rPr>
          <w:szCs w:val="20"/>
        </w:rPr>
        <w:lastRenderedPageBreak/>
        <w:t>V Jihočeském kraji bylo ve školním roce 2024/2025 v mateřských školách 22 920 dětí, v základních školách 60 013 žáků, ve středních školách v denní formě vzdělávání 31 323 žáků a ve vyšších odborných školách v denní formě vzdělávání 436 studentů. Oproti předchozímu školnímu roku byl zaznamenán pokles počtu dětí v mateřských školách o 271 dětí, počet žáků v základních školách se snížil o 28</w:t>
      </w:r>
      <w:r w:rsidRPr="00C67C57">
        <w:rPr>
          <w:color w:val="EE0000"/>
          <w:szCs w:val="20"/>
        </w:rPr>
        <w:t xml:space="preserve"> </w:t>
      </w:r>
      <w:r w:rsidRPr="00C67C57">
        <w:rPr>
          <w:szCs w:val="20"/>
        </w:rPr>
        <w:t>žáků. V případě středních škol se počet žáků meziročně zvýšil o 1 340 a vyšší odborné školy zaznamenaly snížení počtu o 31 studentů v denní formě vzdělávání.</w:t>
      </w:r>
    </w:p>
    <w:p w14:paraId="5F48A25F" w14:textId="77777777" w:rsidR="00CA3AFA" w:rsidRPr="00C67C57" w:rsidRDefault="00CA3AFA" w:rsidP="00C67C57">
      <w:pPr>
        <w:pStyle w:val="KUJKnormal"/>
        <w:rPr>
          <w:szCs w:val="20"/>
        </w:rPr>
      </w:pPr>
    </w:p>
    <w:p w14:paraId="0089F12E" w14:textId="77777777" w:rsidR="00CA3AFA" w:rsidRPr="00C67C57" w:rsidRDefault="00CA3AFA" w:rsidP="00C67C57">
      <w:pPr>
        <w:pStyle w:val="KUJKnormal"/>
        <w:rPr>
          <w:szCs w:val="20"/>
        </w:rPr>
      </w:pPr>
      <w:r w:rsidRPr="00C67C57">
        <w:rPr>
          <w:szCs w:val="20"/>
        </w:rPr>
        <w:t>V Jihočeském kraji se nadále daří udržet poměr počtu žáků maturitních a učebních oborů přibližně na stejné úrovni jako v letech předcházejících, stejně tak i nižší procento nezaměstnanosti čerstvých absolventů se středním vzděláním s výučním listem, než je celorepublikový průměr. Naopak u absolventů se středním vzděláním s maturitní zkouškou je po letech procento nezaměstnanosti v Jihočeském kraji vyšší, než je celorepublikový průměr. Daří se podporovat obory jak strojírenské, tak zdravotnické i obory gastronomické. V gymnáziích a lyceích se vzdělávalo ve školním roce 2024/2025 9 793 žáků, v technických oborech 8 111 žáků všech zřizovatelů (jedná se o obory patřící do oborového shluku 23 Strojírenství a strojírenská výroba, 18 Informatické obory, 26 Elektrotechnika, telekomunikační a výpočetní technika, 28 Technická chemie a chemie silikátů, 33 Zpracování dřeva a výroba hudebních nástrojů, 36 Stavebnictví, geodézie a kartografie, 37 Doprava a spoje).</w:t>
      </w:r>
    </w:p>
    <w:p w14:paraId="46F61CF2" w14:textId="77777777" w:rsidR="00CA3AFA" w:rsidRPr="00C67C57" w:rsidRDefault="00CA3AFA" w:rsidP="00C67C57">
      <w:pPr>
        <w:pStyle w:val="KUJKnormal"/>
        <w:rPr>
          <w:szCs w:val="20"/>
        </w:rPr>
      </w:pPr>
    </w:p>
    <w:p w14:paraId="6AC14256" w14:textId="77777777" w:rsidR="00CA3AFA" w:rsidRPr="00C67C57" w:rsidRDefault="00CA3AFA" w:rsidP="00C67C57">
      <w:pPr>
        <w:jc w:val="both"/>
        <w:rPr>
          <w:szCs w:val="20"/>
          <w:lang w:eastAsia="cs-CZ"/>
        </w:rPr>
      </w:pPr>
      <w:r w:rsidRPr="00C67C57">
        <w:rPr>
          <w:szCs w:val="20"/>
        </w:rPr>
        <w:t xml:space="preserve">V kapitole „Rekonstrukce škol a školských zařízení zřizovaných Jihočeským krajem, výstavba, vybavení“ jsou určeny prostředky na reprodukci majetku škol a školských zařízení, které poskytuje Jihočeský kraj jako zřizovatel organizacím prostřednictvím Fondu rozvoje školství (FRŠ) v souladu s jeho Statutem schváleným zastupitelstvem kraje směrnicí č. SM/83/ZK, v platném znění. V roce 2024 bylo z FRŠ profinancováno téměř </w:t>
      </w:r>
      <w:r w:rsidRPr="00C67C57">
        <w:rPr>
          <w:szCs w:val="20"/>
          <w:lang w:eastAsia="cs-CZ"/>
        </w:rPr>
        <w:t xml:space="preserve">406 272 </w:t>
      </w:r>
      <w:r w:rsidRPr="00C67C57">
        <w:rPr>
          <w:szCs w:val="20"/>
        </w:rPr>
        <w:t xml:space="preserve">tis. Kč. </w:t>
      </w:r>
      <w:r w:rsidRPr="00C67C57">
        <w:rPr>
          <w:szCs w:val="20"/>
          <w:lang w:eastAsia="cs-CZ"/>
        </w:rPr>
        <w:t xml:space="preserve">V roce 2024 byla započata realizace transformace dětských domovů za účelem nákupu nemovitostí a jejich rekonstrukcí v celkové alokované částce 100 000 tis. Kč, z čehož bylo v r. 2024 vyčerpáno 80 950 tis. Kč a zbývající nevyčerpaná částka byla převedena do r. 2025. Největší akce se týkaly např. přestavby půdních prostor Domova mládeže, Holečkova 2, České Budějovice na ubytovací prostory za účelem zvýšení kapacity domova mládeže včetně interiérového vybavení, pořízení výtahu a zajištění bezbariérového přístupu; přístavby dvou pavilonů, spojovací chodby s učebnami a výtahem pro osoby se sníženou schopností pohybu v Mateřské škole, Základní škole a Praktické škole, Trhové Sviny v objektu v ul. Dlouhá 35 Č. Budějovice; výstavby multifunkční sportovní haly, parkoviště a technického zázemí pro Střední školu technickou a obchodní, Dačice, Strojírenská 304; Střední škola obchodu, služeb a řemesel a Jazyková škola s právem státní jazykové zkoušky, Tábor, Bydlinského 2474 obdržela prostředky na projektovou dokumentaci a výstavbu sportovního areálu; taneční sál je budován pro Základní uměleckou školu, Sezimovo Ústí, Nerudova 628; Střední průmyslové škole stavební, České Budějovice, Resslova 2 byly poskytnuty prostředky na rekonstrukci tělocvičny včetně zázemí a Obchodní akademie, Písek, Čelakovského 200 obdržela prostředky na vybudování školních šaten s hygienickým zázemím jako pokračování výstavby nového školního sportoviště a navazujících ploch. </w:t>
      </w:r>
      <w:r w:rsidRPr="00C67C57">
        <w:rPr>
          <w:szCs w:val="20"/>
        </w:rPr>
        <w:t>Prostředky FRŠ byly zapojeny do financování cca 56 akcí realizovaných na objektech škol a školských zařízení ve vlastnictví Jihočeského kraje. Pokračovaly tak rekonstrukce elektroinstalací, rozvodů vody a odpadů, střech, vytápění apod.</w:t>
      </w:r>
    </w:p>
    <w:p w14:paraId="131ABB0E" w14:textId="77777777" w:rsidR="00CA3AFA" w:rsidRDefault="00CA3AFA" w:rsidP="003971B9">
      <w:pPr>
        <w:pStyle w:val="KUJKnormal"/>
        <w:rPr>
          <w:rFonts w:ascii="Arial" w:hAnsi="Arial"/>
        </w:rPr>
      </w:pPr>
    </w:p>
    <w:p w14:paraId="0386CB73" w14:textId="77777777" w:rsidR="00CA3AFA" w:rsidRDefault="00CA3AFA" w:rsidP="002262D0">
      <w:pPr>
        <w:pStyle w:val="KUJKnormal"/>
      </w:pPr>
    </w:p>
    <w:p w14:paraId="6537B991" w14:textId="77777777" w:rsidR="00CA3AFA" w:rsidRDefault="00CA3AFA" w:rsidP="002262D0">
      <w:pPr>
        <w:pStyle w:val="KUJKnormal"/>
      </w:pPr>
    </w:p>
    <w:p w14:paraId="25D6D1C2" w14:textId="77777777" w:rsidR="00CA3AFA" w:rsidRDefault="00CA3AFA" w:rsidP="002262D0">
      <w:pPr>
        <w:pStyle w:val="KUJKnormal"/>
      </w:pPr>
      <w:r>
        <w:t>Finanční nároky a krytí: bez nároku na rozpočet kraje</w:t>
      </w:r>
    </w:p>
    <w:p w14:paraId="3D39D066" w14:textId="77777777" w:rsidR="00CA3AFA" w:rsidRDefault="00CA3AFA" w:rsidP="002262D0">
      <w:pPr>
        <w:pStyle w:val="KUJKnormal"/>
      </w:pPr>
    </w:p>
    <w:p w14:paraId="6DFCB97C" w14:textId="77777777" w:rsidR="00CA3AFA" w:rsidRDefault="00CA3AFA" w:rsidP="002262D0">
      <w:pPr>
        <w:pStyle w:val="KUJKnormal"/>
      </w:pPr>
    </w:p>
    <w:p w14:paraId="1364C17C" w14:textId="77777777" w:rsidR="00CA3AFA" w:rsidRDefault="00CA3AFA" w:rsidP="002262D0">
      <w:pPr>
        <w:pStyle w:val="KUJKnormal"/>
      </w:pPr>
      <w:r>
        <w:t>Vyjádření správce rozpočtu: nepožaduje se</w:t>
      </w:r>
    </w:p>
    <w:p w14:paraId="1B5F7A35" w14:textId="77777777" w:rsidR="00CA3AFA" w:rsidRDefault="00CA3AFA" w:rsidP="002262D0">
      <w:pPr>
        <w:pStyle w:val="KUJKnormal"/>
      </w:pPr>
    </w:p>
    <w:p w14:paraId="38DFF3A9" w14:textId="77777777" w:rsidR="00CA3AFA" w:rsidRDefault="00CA3AFA" w:rsidP="002262D0">
      <w:pPr>
        <w:pStyle w:val="KUJKnormal"/>
      </w:pPr>
    </w:p>
    <w:p w14:paraId="02935AE9" w14:textId="77777777" w:rsidR="00CA3AFA" w:rsidRDefault="00CA3AFA" w:rsidP="002262D0">
      <w:pPr>
        <w:pStyle w:val="KUJKnormal"/>
      </w:pPr>
      <w:r>
        <w:lastRenderedPageBreak/>
        <w:t>Návrh projednán (stanoviska): Výroční zprávu v</w:t>
      </w:r>
      <w:r w:rsidRPr="00024870">
        <w:t>zala na vědomí Rada Jihočeského kraje dne 5. 2. 2026 usnesením č. 146/2026/RK-31</w:t>
      </w:r>
      <w:r>
        <w:t xml:space="preserve"> </w:t>
      </w:r>
      <w:r w:rsidRPr="00024870">
        <w:t>a Výbor pro výchovu, vzdělávání a zaměstnanost Zastupitelstva Jihočeského kraje dne 5. 2. 2026 usnesením č. 6/2026/VVVZ-9</w:t>
      </w:r>
      <w:r>
        <w:t>.</w:t>
      </w:r>
    </w:p>
    <w:p w14:paraId="6A135F2E" w14:textId="77777777" w:rsidR="00CA3AFA" w:rsidRDefault="00CA3AFA" w:rsidP="002262D0">
      <w:pPr>
        <w:pStyle w:val="KUJKnormal"/>
      </w:pPr>
    </w:p>
    <w:p w14:paraId="04374CF2" w14:textId="77777777" w:rsidR="00CA3AFA" w:rsidRDefault="00CA3AFA" w:rsidP="002262D0">
      <w:pPr>
        <w:pStyle w:val="KUJKnormal"/>
      </w:pPr>
    </w:p>
    <w:p w14:paraId="588F933D" w14:textId="77777777" w:rsidR="00CA3AFA" w:rsidRDefault="00CA3AFA" w:rsidP="002262D0">
      <w:pPr>
        <w:pStyle w:val="KUJKtucny"/>
      </w:pPr>
      <w:r w:rsidRPr="007939A8">
        <w:t>PŘÍLOHY:</w:t>
      </w:r>
    </w:p>
    <w:p w14:paraId="17107543" w14:textId="77777777" w:rsidR="00CA3AFA" w:rsidRDefault="00CA3AFA" w:rsidP="00024870">
      <w:pPr>
        <w:pStyle w:val="KUJKcislovany"/>
        <w:spacing w:line="240" w:lineRule="auto"/>
      </w:pPr>
      <w:r>
        <w:t>Výroční zpráva 2024/2025</w:t>
      </w:r>
      <w:r w:rsidRPr="0081756D">
        <w:t xml:space="preserve"> (</w:t>
      </w:r>
      <w:r>
        <w:t>Výroční zpráva o stavu a rozvoji vzdělávací soustavy v Jihočeském kraji za školní rok 2024_2025.docx</w:t>
      </w:r>
      <w:r w:rsidRPr="0081756D">
        <w:t>)</w:t>
      </w:r>
    </w:p>
    <w:p w14:paraId="6D6F469B" w14:textId="77777777" w:rsidR="00CA3AFA" w:rsidRPr="00502C93" w:rsidRDefault="00CA3AFA" w:rsidP="00502C93">
      <w:pPr>
        <w:pStyle w:val="KUJKnormal"/>
      </w:pPr>
    </w:p>
    <w:p w14:paraId="60F49C25" w14:textId="77777777" w:rsidR="00CA3AFA" w:rsidRPr="00502C93" w:rsidRDefault="00CA3AFA" w:rsidP="00502C93">
      <w:pPr>
        <w:pStyle w:val="KUJKnormal"/>
      </w:pPr>
      <w:r>
        <w:t>Z důvodu obsáhlosti je příloha v elektronické verzi (64 stran).</w:t>
      </w:r>
    </w:p>
    <w:p w14:paraId="231730C1" w14:textId="77777777" w:rsidR="00CA3AFA" w:rsidRPr="00024870" w:rsidRDefault="00CA3AFA" w:rsidP="00024870">
      <w:pPr>
        <w:pStyle w:val="KUJKnormal"/>
      </w:pPr>
    </w:p>
    <w:p w14:paraId="4BB61283" w14:textId="77777777" w:rsidR="00CA3AFA" w:rsidRPr="00C67C57" w:rsidRDefault="00CA3AFA" w:rsidP="002262D0">
      <w:pPr>
        <w:pStyle w:val="KUJKtucny"/>
        <w:rPr>
          <w:b w:val="0"/>
          <w:bCs/>
        </w:rPr>
      </w:pPr>
      <w:r w:rsidRPr="007C1EE7">
        <w:t>Zodpovídá:</w:t>
      </w:r>
      <w:r>
        <w:t xml:space="preserve"> </w:t>
      </w:r>
      <w:r w:rsidRPr="00C67C57">
        <w:rPr>
          <w:b w:val="0"/>
          <w:bCs/>
        </w:rPr>
        <w:t>vedoucí OŠMT – Ing. Hana Šímová</w:t>
      </w:r>
    </w:p>
    <w:p w14:paraId="22F1007C" w14:textId="77777777" w:rsidR="00CA3AFA" w:rsidRDefault="00CA3AFA" w:rsidP="002262D0">
      <w:pPr>
        <w:pStyle w:val="KUJKnormal"/>
      </w:pPr>
    </w:p>
    <w:p w14:paraId="12AC672C" w14:textId="77777777" w:rsidR="00CA3AFA" w:rsidRDefault="00CA3AFA" w:rsidP="002262D0">
      <w:pPr>
        <w:pStyle w:val="KUJKnormal"/>
      </w:pPr>
      <w:r>
        <w:t>Termín kontroly: 27. 3. 2026</w:t>
      </w:r>
    </w:p>
    <w:p w14:paraId="7AFEB974" w14:textId="77777777" w:rsidR="00CA3AFA" w:rsidRDefault="00CA3AFA" w:rsidP="002262D0">
      <w:pPr>
        <w:pStyle w:val="KUJKnormal"/>
      </w:pPr>
      <w:r>
        <w:t>Termín splnění: 27. 3. 2026</w:t>
      </w:r>
    </w:p>
    <w:p w14:paraId="191D995E" w14:textId="77777777" w:rsidR="00CA3AFA" w:rsidRPr="00BB6565" w:rsidRDefault="00CA3AFA"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DFA0" w14:textId="77777777" w:rsidR="00AF135C" w:rsidRDefault="00AF135C" w:rsidP="002C5539">
      <w:r>
        <w:separator/>
      </w:r>
    </w:p>
  </w:endnote>
  <w:endnote w:type="continuationSeparator" w:id="0">
    <w:p w14:paraId="6F02AE6A" w14:textId="77777777" w:rsidR="00AF135C" w:rsidRDefault="00AF135C"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F135C"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F135C"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C927" w14:textId="77777777" w:rsidR="00AF135C" w:rsidRDefault="00AF135C" w:rsidP="002C5539">
      <w:r>
        <w:separator/>
      </w:r>
    </w:p>
  </w:footnote>
  <w:footnote w:type="continuationSeparator" w:id="0">
    <w:p w14:paraId="1EF0CD6F" w14:textId="77777777" w:rsidR="00AF135C" w:rsidRDefault="00AF135C"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DE95" w14:textId="77777777" w:rsidR="00CA3AFA" w:rsidRDefault="00CA3AFA" w:rsidP="00CA3AFA">
    <w:r>
      <w:rPr>
        <w:noProof/>
      </w:rPr>
      <w:pict w14:anchorId="7F7EA3D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00307DE" w14:textId="77777777" w:rsidR="00CA3AFA" w:rsidRPr="00D405BE" w:rsidRDefault="00CA3AFA" w:rsidP="00CA3AFA">
                <w:pPr>
                  <w:spacing w:after="60"/>
                  <w:rPr>
                    <w:rFonts w:cs="Arial"/>
                    <w:b/>
                    <w:sz w:val="22"/>
                  </w:rPr>
                </w:pPr>
                <w:r w:rsidRPr="00D405BE">
                  <w:rPr>
                    <w:rFonts w:cs="Arial"/>
                    <w:b/>
                    <w:sz w:val="22"/>
                  </w:rPr>
                  <w:t>ZASTUPITELSTVO JIHOČESKÉHO KRAJE</w:t>
                </w:r>
              </w:p>
              <w:p w14:paraId="0F517437" w14:textId="77777777" w:rsidR="00CA3AFA" w:rsidRPr="00D405BE" w:rsidRDefault="00CA3AFA" w:rsidP="00CA3AFA">
                <w:pPr>
                  <w:spacing w:after="60"/>
                  <w:rPr>
                    <w:rFonts w:cs="Arial"/>
                    <w:sz w:val="22"/>
                  </w:rPr>
                </w:pPr>
                <w:r w:rsidRPr="00D405BE">
                  <w:rPr>
                    <w:rFonts w:cs="Arial"/>
                    <w:sz w:val="22"/>
                  </w:rPr>
                  <w:t>NÁVRH USNESENÍ</w:t>
                </w:r>
              </w:p>
            </w:txbxContent>
          </v:textbox>
        </v:shape>
      </w:pict>
    </w:r>
    <w:r>
      <w:rPr>
        <w:noProof/>
      </w:rPr>
    </w:r>
    <w:r>
      <w:pict w14:anchorId="40EF0D4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DDC85BA">
        <v:rect id="_x0000_i1026" style="width:481.9pt;height:2pt" o:hralign="center" o:hrstd="t" o:hrnoshade="t" o:hr="t" fillcolor="black" stroked="f"/>
      </w:pict>
    </w:r>
  </w:p>
  <w:p w14:paraId="3966A821" w14:textId="77777777" w:rsidR="00CA3AFA" w:rsidRPr="00CA3AFA" w:rsidRDefault="00CA3AFA" w:rsidP="00CA3A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135C"/>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1D"/>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3AFA"/>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5303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2026-02-23T06:26:00Z</dcterms:created>
  <dcterms:modified xsi:type="dcterms:W3CDTF">2026-02-23T06:26:00Z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6952995</vt:i4>
  </property>
  <property fmtid="{D5CDD505-2E9C-101B-9397-08002B2CF9AE}" pid="4" name="ID_Navrh">
    <vt:i4>6993744</vt:i4>
  </property>
  <property fmtid="{D5CDD505-2E9C-101B-9397-08002B2CF9AE}" pid="5" name="UlozitJako">
    <vt:lpwstr>C:\Users\mrazkova\AppData\Local\Temp\iU98955936\Zastupitelstvo\2026-02-19\Navrhy\52-ZK-26.</vt:lpwstr>
  </property>
  <property fmtid="{D5CDD505-2E9C-101B-9397-08002B2CF9AE}" pid="6" name="Zpracovat">
    <vt:bool>false</vt:bool>
  </property>
</Properties>
</file>