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6341" w14:paraId="59E000BD" w14:textId="77777777" w:rsidTr="00D21668">
        <w:trPr>
          <w:trHeight w:hRule="exact" w:val="397"/>
        </w:trPr>
        <w:tc>
          <w:tcPr>
            <w:tcW w:w="2376" w:type="dxa"/>
            <w:hideMark/>
          </w:tcPr>
          <w:p w14:paraId="1C17323A" w14:textId="77777777" w:rsidR="00286341" w:rsidRDefault="0028634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EE9EF5" w14:textId="77777777" w:rsidR="00286341" w:rsidRDefault="00286341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1D54E636" w14:textId="77777777" w:rsidR="00286341" w:rsidRDefault="00286341" w:rsidP="00970720">
            <w:pPr>
              <w:pStyle w:val="KUJKtucny"/>
            </w:pPr>
            <w:r w:rsidRPr="00CE065E">
              <w:t>Bod programu:</w:t>
            </w:r>
            <w:r>
              <w:t xml:space="preserve"> </w:t>
            </w:r>
            <w:r w:rsidRPr="00CE065E">
              <w:rPr>
                <w:sz w:val="28"/>
              </w:rPr>
              <w:t>12</w:t>
            </w:r>
          </w:p>
        </w:tc>
        <w:tc>
          <w:tcPr>
            <w:tcW w:w="850" w:type="dxa"/>
          </w:tcPr>
          <w:p w14:paraId="5D106AD9" w14:textId="77777777" w:rsidR="00286341" w:rsidRDefault="00286341" w:rsidP="00970720">
            <w:pPr>
              <w:pStyle w:val="KUJKnormal"/>
            </w:pPr>
          </w:p>
        </w:tc>
      </w:tr>
      <w:tr w:rsidR="00286341" w14:paraId="406D15BF" w14:textId="77777777" w:rsidTr="00D21668">
        <w:trPr>
          <w:cantSplit/>
          <w:trHeight w:hRule="exact" w:val="397"/>
        </w:trPr>
        <w:tc>
          <w:tcPr>
            <w:tcW w:w="2376" w:type="dxa"/>
            <w:hideMark/>
          </w:tcPr>
          <w:p w14:paraId="018940CF" w14:textId="77777777" w:rsidR="00286341" w:rsidRDefault="0028634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87F921" w14:textId="77777777" w:rsidR="00286341" w:rsidRDefault="00286341" w:rsidP="00970720">
            <w:pPr>
              <w:pStyle w:val="KUJKnormal"/>
            </w:pPr>
            <w:r>
              <w:t>40/ZK/26</w:t>
            </w:r>
          </w:p>
        </w:tc>
      </w:tr>
      <w:tr w:rsidR="00286341" w14:paraId="3F9BAD4F" w14:textId="77777777" w:rsidTr="00D21668">
        <w:trPr>
          <w:trHeight w:val="397"/>
        </w:trPr>
        <w:tc>
          <w:tcPr>
            <w:tcW w:w="2376" w:type="dxa"/>
          </w:tcPr>
          <w:p w14:paraId="33E80C8D" w14:textId="77777777" w:rsidR="00286341" w:rsidRDefault="00286341" w:rsidP="00970720"/>
          <w:p w14:paraId="68365C61" w14:textId="77777777" w:rsidR="00286341" w:rsidRDefault="0028634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82E94E" w14:textId="77777777" w:rsidR="00286341" w:rsidRDefault="00286341" w:rsidP="00970720"/>
          <w:p w14:paraId="213D16AD" w14:textId="77777777" w:rsidR="00286341" w:rsidRDefault="0028634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Prenotifikace služeb k zajištění dopravní obslužnosti vlaky regionální dopravy na trati č. 229</w:t>
            </w:r>
          </w:p>
        </w:tc>
      </w:tr>
    </w:tbl>
    <w:p w14:paraId="52548DF5" w14:textId="77777777" w:rsidR="00286341" w:rsidRDefault="00286341" w:rsidP="00D21668">
      <w:pPr>
        <w:pStyle w:val="KUJKnormal"/>
        <w:rPr>
          <w:b/>
          <w:bCs/>
        </w:rPr>
      </w:pPr>
      <w:r>
        <w:rPr>
          <w:b/>
          <w:bCs/>
        </w:rPr>
        <w:pict w14:anchorId="43C5F365">
          <v:rect id="_x0000_i1029" style="width:453.6pt;height:1.5pt" o:hralign="center" o:hrstd="t" o:hrnoshade="t" o:hr="t" fillcolor="black" stroked="f"/>
        </w:pict>
      </w:r>
    </w:p>
    <w:p w14:paraId="10D6DD2D" w14:textId="77777777" w:rsidR="00286341" w:rsidRDefault="00286341" w:rsidP="00D21668">
      <w:pPr>
        <w:pStyle w:val="KUJKnormal"/>
      </w:pPr>
    </w:p>
    <w:p w14:paraId="1DEFD3C7" w14:textId="77777777" w:rsidR="00286341" w:rsidRDefault="00286341" w:rsidP="00D2166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6341" w14:paraId="304EDFD6" w14:textId="77777777" w:rsidTr="002559B8">
        <w:trPr>
          <w:trHeight w:val="397"/>
        </w:trPr>
        <w:tc>
          <w:tcPr>
            <w:tcW w:w="2350" w:type="dxa"/>
            <w:hideMark/>
          </w:tcPr>
          <w:p w14:paraId="149C3743" w14:textId="77777777" w:rsidR="00286341" w:rsidRDefault="0028634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00C122" w14:textId="77777777" w:rsidR="00286341" w:rsidRDefault="00286341" w:rsidP="002559B8">
            <w:pPr>
              <w:pStyle w:val="KUJKnormal"/>
            </w:pPr>
            <w:r>
              <w:t>MUDr. Martin Kuba</w:t>
            </w:r>
          </w:p>
          <w:p w14:paraId="5FFE0D3E" w14:textId="77777777" w:rsidR="00286341" w:rsidRDefault="00286341" w:rsidP="002559B8"/>
        </w:tc>
      </w:tr>
      <w:tr w:rsidR="00286341" w14:paraId="38A335CD" w14:textId="77777777" w:rsidTr="002559B8">
        <w:trPr>
          <w:trHeight w:val="397"/>
        </w:trPr>
        <w:tc>
          <w:tcPr>
            <w:tcW w:w="2350" w:type="dxa"/>
          </w:tcPr>
          <w:p w14:paraId="5CEDE630" w14:textId="77777777" w:rsidR="00286341" w:rsidRDefault="00286341" w:rsidP="002559B8">
            <w:pPr>
              <w:pStyle w:val="KUJKtucny"/>
            </w:pPr>
            <w:r>
              <w:t>Zpracoval:</w:t>
            </w:r>
          </w:p>
          <w:p w14:paraId="2DA4AA49" w14:textId="77777777" w:rsidR="00286341" w:rsidRDefault="00286341" w:rsidP="002559B8"/>
        </w:tc>
        <w:tc>
          <w:tcPr>
            <w:tcW w:w="6862" w:type="dxa"/>
            <w:hideMark/>
          </w:tcPr>
          <w:p w14:paraId="21258D1C" w14:textId="77777777" w:rsidR="00286341" w:rsidRDefault="00286341" w:rsidP="002559B8">
            <w:pPr>
              <w:pStyle w:val="KUJKnormal"/>
            </w:pPr>
            <w:r>
              <w:t>ODSH</w:t>
            </w:r>
          </w:p>
        </w:tc>
      </w:tr>
      <w:tr w:rsidR="00286341" w14:paraId="36B91351" w14:textId="77777777" w:rsidTr="002559B8">
        <w:trPr>
          <w:trHeight w:val="397"/>
        </w:trPr>
        <w:tc>
          <w:tcPr>
            <w:tcW w:w="2350" w:type="dxa"/>
          </w:tcPr>
          <w:p w14:paraId="6853D003" w14:textId="77777777" w:rsidR="00286341" w:rsidRPr="009715F9" w:rsidRDefault="0028634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5FFB6C" w14:textId="77777777" w:rsidR="00286341" w:rsidRDefault="00286341" w:rsidP="002559B8"/>
        </w:tc>
        <w:tc>
          <w:tcPr>
            <w:tcW w:w="6862" w:type="dxa"/>
            <w:hideMark/>
          </w:tcPr>
          <w:p w14:paraId="673D537F" w14:textId="77777777" w:rsidR="00286341" w:rsidRDefault="00286341" w:rsidP="002559B8">
            <w:pPr>
              <w:pStyle w:val="KUJKnormal"/>
            </w:pPr>
            <w:r>
              <w:t>JUDr. Andrea Tetourová</w:t>
            </w:r>
          </w:p>
        </w:tc>
      </w:tr>
    </w:tbl>
    <w:p w14:paraId="7526DEA4" w14:textId="77777777" w:rsidR="00286341" w:rsidRDefault="00286341" w:rsidP="00D21668">
      <w:pPr>
        <w:pStyle w:val="KUJKnormal"/>
      </w:pPr>
    </w:p>
    <w:p w14:paraId="6F384012" w14:textId="77777777" w:rsidR="00286341" w:rsidRPr="0052161F" w:rsidRDefault="00286341" w:rsidP="00D21668">
      <w:pPr>
        <w:pStyle w:val="KUJKtucny"/>
      </w:pPr>
      <w:r w:rsidRPr="0052161F">
        <w:t>NÁVRH USNESENÍ</w:t>
      </w:r>
    </w:p>
    <w:p w14:paraId="5BFEF48A" w14:textId="77777777" w:rsidR="00286341" w:rsidRDefault="00286341" w:rsidP="00D2166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F831AA" w14:textId="77777777" w:rsidR="00286341" w:rsidRPr="00841DFC" w:rsidRDefault="00286341" w:rsidP="00D21668">
      <w:pPr>
        <w:pStyle w:val="KUJKPolozka"/>
        <w:spacing w:line="240" w:lineRule="auto"/>
      </w:pPr>
      <w:r w:rsidRPr="00841DFC">
        <w:t>Zastupitelstvo Jihočeského kraje</w:t>
      </w:r>
    </w:p>
    <w:p w14:paraId="7296374C" w14:textId="77777777" w:rsidR="00286341" w:rsidRPr="00E10FE7" w:rsidRDefault="00286341" w:rsidP="00025581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07D45812" w14:textId="77777777" w:rsidR="00286341" w:rsidRDefault="00286341" w:rsidP="00937DE8">
      <w:pPr>
        <w:pStyle w:val="KUJKPolozka"/>
        <w:rPr>
          <w:b w:val="0"/>
          <w:bCs/>
        </w:rPr>
      </w:pPr>
      <w:r w:rsidRPr="00937DE8">
        <w:rPr>
          <w:b w:val="0"/>
          <w:bCs/>
        </w:rPr>
        <w:t xml:space="preserve">záměr prenotifikace služeb k zajištění dopravní obslužnosti vlaky regionální dopravy na trati č. 229 zveřejněním ve Věstníku EU (TED) formou přímého zadání na dobu 5 let od 26. 03. 2027 do 13. 12. 2031.  </w:t>
      </w:r>
    </w:p>
    <w:p w14:paraId="78436EF2" w14:textId="77777777" w:rsidR="00286341" w:rsidRDefault="00286341" w:rsidP="00937DE8">
      <w:pPr>
        <w:pStyle w:val="KUJKnormal"/>
      </w:pPr>
    </w:p>
    <w:p w14:paraId="4E0433E6" w14:textId="77777777" w:rsidR="00286341" w:rsidRDefault="00286341" w:rsidP="00937DE8">
      <w:pPr>
        <w:pStyle w:val="KUJKnadpisDZ"/>
      </w:pPr>
      <w:bookmarkStart w:id="1" w:name="US_DuvodZprava"/>
      <w:bookmarkEnd w:id="1"/>
      <w:r>
        <w:t>DŮVODOVÁ ZPRÁVA</w:t>
      </w:r>
    </w:p>
    <w:p w14:paraId="1247CD4F" w14:textId="77777777" w:rsidR="00286341" w:rsidRPr="009B7B0B" w:rsidRDefault="00286341" w:rsidP="00937DE8">
      <w:pPr>
        <w:pStyle w:val="KUJKmezeraDZ"/>
      </w:pPr>
    </w:p>
    <w:p w14:paraId="679BFF80" w14:textId="77777777" w:rsidR="00286341" w:rsidRDefault="00286341" w:rsidP="00260C3F">
      <w:pPr>
        <w:pStyle w:val="KUJKnormal"/>
      </w:pPr>
      <w:r>
        <w:t>Tento návrh byl zpracován společností JIKORD s.r.o. a je předkládán prostřednictvím ODSH k projednání Radě Jihočeského kraje.</w:t>
      </w:r>
    </w:p>
    <w:p w14:paraId="66A5CD5B" w14:textId="77777777" w:rsidR="00286341" w:rsidRDefault="00286341" w:rsidP="00260C3F">
      <w:pPr>
        <w:pStyle w:val="KUJKnormal"/>
      </w:pPr>
    </w:p>
    <w:p w14:paraId="01C3FF91" w14:textId="77777777" w:rsidR="00286341" w:rsidRDefault="00286341" w:rsidP="00260C3F">
      <w:pPr>
        <w:pStyle w:val="KUJKnormal"/>
      </w:pPr>
      <w:r>
        <w:t xml:space="preserve">V minulosti byla na tratích č. 228 a č. 229 objednávána regionální doprava v rámci závazku veřejné služby na základě uzavřených smluv mezi dopravcem Jindřichohradecké místní dráhy, a.s. (dále „JHMD“) a Jihočeským krajem. Vzhledem k porušení smluvních povinností a zahájení insolvenčního řízení byla společnosti JHMD v říjnu 2022 vypovězena smlouva a došlo k zastavení provozu. Tento provoz byl nahrazen veřejnou linkovou dopravou podle požadavků obcí. </w:t>
      </w:r>
    </w:p>
    <w:p w14:paraId="5730198B" w14:textId="77777777" w:rsidR="00286341" w:rsidRDefault="00286341" w:rsidP="00260C3F">
      <w:pPr>
        <w:pStyle w:val="KUJKnormal"/>
      </w:pPr>
    </w:p>
    <w:p w14:paraId="6B50C85B" w14:textId="77777777" w:rsidR="00286341" w:rsidRDefault="00286341" w:rsidP="00260C3F">
      <w:pPr>
        <w:pStyle w:val="KUJKnormal"/>
      </w:pPr>
      <w:r>
        <w:t>Dne 16. 01 2026 se konalo jednání se zástupci Jihočeského kraje, Kraje Vysočina, Města Jindřichův Hradec, JIKORDu a potenciálním dopravcem. Na tomto jednání bylo představeno budoucí fungování dopravce a zajištění provozu dopravní obslužnosti trati č. 229.</w:t>
      </w:r>
    </w:p>
    <w:p w14:paraId="15233A41" w14:textId="77777777" w:rsidR="00286341" w:rsidRDefault="00286341" w:rsidP="00260C3F">
      <w:pPr>
        <w:pStyle w:val="KUJKnormal"/>
      </w:pPr>
    </w:p>
    <w:p w14:paraId="037E985F" w14:textId="77777777" w:rsidR="00286341" w:rsidRDefault="00286341" w:rsidP="00260C3F">
      <w:pPr>
        <w:pStyle w:val="KUJKnormal"/>
      </w:pPr>
      <w:r>
        <w:t>Navržený provoz bude zaměřen na rekreační dopravu, především v letním období (denně), v okrajové turistické sezóně (jaro, podzim) o víkendech a státních svátcích, nikoliv na pravidelnou dopravní obslužnost, která je zajištěna veřejnou linkovou dopravou. Dopravce nabízí zajištění provozu lokomotivami Tu47, dvěma vozy Balm/ú a vozem na kola. Záložní souprava bude tvořena lokomotivou Tu29 a vozy Balm/ú, nebo Ba/ú.</w:t>
      </w:r>
    </w:p>
    <w:p w14:paraId="2AA8364D" w14:textId="77777777" w:rsidR="00286341" w:rsidRDefault="00286341" w:rsidP="00260C3F">
      <w:pPr>
        <w:pStyle w:val="KUJKnormal"/>
      </w:pPr>
    </w:p>
    <w:p w14:paraId="1237EDE2" w14:textId="77777777" w:rsidR="00286341" w:rsidRDefault="00286341" w:rsidP="00260C3F">
      <w:pPr>
        <w:pStyle w:val="KUJKnormal"/>
      </w:pPr>
      <w:r>
        <w:t>Rozsah objednávaného provozu:</w:t>
      </w:r>
    </w:p>
    <w:p w14:paraId="06ADBCA4" w14:textId="77777777" w:rsidR="00286341" w:rsidRDefault="00286341" w:rsidP="00260C3F">
      <w:pPr>
        <w:pStyle w:val="KUJKnormal"/>
      </w:pPr>
      <w:r>
        <w:rPr>
          <w:rFonts w:ascii="Arial" w:hAnsi="Arial" w:cs="Arial"/>
        </w:rPr>
        <w:t>●</w:t>
      </w:r>
      <w:r>
        <w:t xml:space="preserve">  V m</w:t>
      </w:r>
      <w:r>
        <w:rPr>
          <w:rFonts w:cs="Neue Haas Grotesk Text Pro"/>
        </w:rPr>
        <w:t>ě</w:t>
      </w:r>
      <w:r>
        <w:t>s</w:t>
      </w:r>
      <w:r>
        <w:rPr>
          <w:rFonts w:cs="Neue Haas Grotesk Text Pro"/>
        </w:rPr>
        <w:t>í</w:t>
      </w:r>
      <w:r>
        <w:t>c</w:t>
      </w:r>
      <w:r>
        <w:rPr>
          <w:rFonts w:cs="Neue Haas Grotesk Text Pro"/>
        </w:rPr>
        <w:t>í</w:t>
      </w:r>
      <w:r>
        <w:t>ch b</w:t>
      </w:r>
      <w:r>
        <w:rPr>
          <w:rFonts w:cs="Neue Haas Grotesk Text Pro"/>
        </w:rPr>
        <w:t>ř</w:t>
      </w:r>
      <w:r>
        <w:t>ezen/duben (zah</w:t>
      </w:r>
      <w:r>
        <w:rPr>
          <w:rFonts w:cs="Neue Haas Grotesk Text Pro"/>
        </w:rPr>
        <w:t>á</w:t>
      </w:r>
      <w:r>
        <w:t>jen</w:t>
      </w:r>
      <w:r>
        <w:rPr>
          <w:rFonts w:cs="Neue Haas Grotesk Text Pro"/>
        </w:rPr>
        <w:t>í</w:t>
      </w:r>
      <w:r>
        <w:t xml:space="preserve"> provozu v</w:t>
      </w:r>
      <w:r>
        <w:rPr>
          <w:rFonts w:cs="Neue Haas Grotesk Text Pro"/>
        </w:rPr>
        <w:t>ž</w:t>
      </w:r>
      <w:r>
        <w:t>dy velikono</w:t>
      </w:r>
      <w:r>
        <w:rPr>
          <w:rFonts w:cs="Neue Haas Grotesk Text Pro"/>
        </w:rPr>
        <w:t>č</w:t>
      </w:r>
      <w:r>
        <w:t>n</w:t>
      </w:r>
      <w:r>
        <w:rPr>
          <w:rFonts w:cs="Neue Haas Grotesk Text Pro"/>
        </w:rPr>
        <w:t>í</w:t>
      </w:r>
      <w:r>
        <w:t>m sv</w:t>
      </w:r>
      <w:r>
        <w:rPr>
          <w:rFonts w:cs="Neue Haas Grotesk Text Pro"/>
        </w:rPr>
        <w:t>á</w:t>
      </w:r>
      <w:r>
        <w:t>tkem Velk</w:t>
      </w:r>
      <w:r>
        <w:rPr>
          <w:rFonts w:cs="Neue Haas Grotesk Text Pro"/>
        </w:rPr>
        <w:t>ý</w:t>
      </w:r>
      <w:r>
        <w:t xml:space="preserve"> p</w:t>
      </w:r>
      <w:r>
        <w:rPr>
          <w:rFonts w:cs="Neue Haas Grotesk Text Pro"/>
        </w:rPr>
        <w:t>á</w:t>
      </w:r>
      <w:r>
        <w:t>tek) v rozsahu 5 p</w:t>
      </w:r>
      <w:r>
        <w:rPr>
          <w:rFonts w:cs="Neue Haas Grotesk Text Pro"/>
        </w:rPr>
        <w:t>á</w:t>
      </w:r>
      <w:r>
        <w:t>r</w:t>
      </w:r>
      <w:r>
        <w:rPr>
          <w:rFonts w:cs="Neue Haas Grotesk Text Pro"/>
        </w:rPr>
        <w:t>ů</w:t>
      </w:r>
      <w:r>
        <w:t xml:space="preserve"> </w:t>
      </w:r>
    </w:p>
    <w:p w14:paraId="522A8245" w14:textId="77777777" w:rsidR="00286341" w:rsidRDefault="00286341" w:rsidP="00260C3F">
      <w:pPr>
        <w:pStyle w:val="KUJKnormal"/>
      </w:pPr>
      <w:r>
        <w:t xml:space="preserve">    vlaků </w:t>
      </w:r>
    </w:p>
    <w:p w14:paraId="43D46EBA" w14:textId="77777777" w:rsidR="00286341" w:rsidRDefault="00286341" w:rsidP="00260C3F">
      <w:pPr>
        <w:pStyle w:val="KUJKnormal"/>
      </w:pPr>
      <w:r>
        <w:rPr>
          <w:rFonts w:ascii="Arial" w:hAnsi="Arial" w:cs="Arial"/>
        </w:rPr>
        <w:lastRenderedPageBreak/>
        <w:t>●</w:t>
      </w:r>
      <w:r>
        <w:t xml:space="preserve"> V m</w:t>
      </w:r>
      <w:r>
        <w:rPr>
          <w:rFonts w:cs="Neue Haas Grotesk Text Pro"/>
        </w:rPr>
        <w:t>ě</w:t>
      </w:r>
      <w:r>
        <w:t>s</w:t>
      </w:r>
      <w:r>
        <w:rPr>
          <w:rFonts w:cs="Neue Haas Grotesk Text Pro"/>
        </w:rPr>
        <w:t>í</w:t>
      </w:r>
      <w:r>
        <w:t>c</w:t>
      </w:r>
      <w:r>
        <w:rPr>
          <w:rFonts w:cs="Neue Haas Grotesk Text Pro"/>
        </w:rPr>
        <w:t>í</w:t>
      </w:r>
      <w:r>
        <w:t>ch kv</w:t>
      </w:r>
      <w:r>
        <w:rPr>
          <w:rFonts w:cs="Neue Haas Grotesk Text Pro"/>
        </w:rPr>
        <w:t>ě</w:t>
      </w:r>
      <w:r>
        <w:t xml:space="preserve">ten a </w:t>
      </w:r>
      <w:r>
        <w:rPr>
          <w:rFonts w:cs="Neue Haas Grotesk Text Pro"/>
        </w:rPr>
        <w:t>ří</w:t>
      </w:r>
      <w:r>
        <w:t>jen o v</w:t>
      </w:r>
      <w:r>
        <w:rPr>
          <w:rFonts w:cs="Neue Haas Grotesk Text Pro"/>
        </w:rPr>
        <w:t>í</w:t>
      </w:r>
      <w:r>
        <w:t>kendech a st</w:t>
      </w:r>
      <w:r>
        <w:rPr>
          <w:rFonts w:cs="Neue Haas Grotesk Text Pro"/>
        </w:rPr>
        <w:t>á</w:t>
      </w:r>
      <w:r>
        <w:t>tn</w:t>
      </w:r>
      <w:r>
        <w:rPr>
          <w:rFonts w:cs="Neue Haas Grotesk Text Pro"/>
        </w:rPr>
        <w:t>í</w:t>
      </w:r>
      <w:r>
        <w:t>ch sv</w:t>
      </w:r>
      <w:r>
        <w:rPr>
          <w:rFonts w:cs="Neue Haas Grotesk Text Pro"/>
        </w:rPr>
        <w:t>á</w:t>
      </w:r>
      <w:r>
        <w:t>tc</w:t>
      </w:r>
      <w:r>
        <w:rPr>
          <w:rFonts w:cs="Neue Haas Grotesk Text Pro"/>
        </w:rPr>
        <w:t>í</w:t>
      </w:r>
      <w:r>
        <w:t>ch - v rozsahu 5 p</w:t>
      </w:r>
      <w:r>
        <w:rPr>
          <w:rFonts w:cs="Neue Haas Grotesk Text Pro"/>
        </w:rPr>
        <w:t>á</w:t>
      </w:r>
      <w:r>
        <w:t>r</w:t>
      </w:r>
      <w:r>
        <w:rPr>
          <w:rFonts w:cs="Neue Haas Grotesk Text Pro"/>
        </w:rPr>
        <w:t>ů</w:t>
      </w:r>
      <w:r>
        <w:t xml:space="preserve"> vlaků</w:t>
      </w:r>
    </w:p>
    <w:p w14:paraId="47A8B15B" w14:textId="77777777" w:rsidR="00286341" w:rsidRPr="00260C3F" w:rsidRDefault="00286341" w:rsidP="00260C3F">
      <w:pPr>
        <w:pStyle w:val="KUJKnormal"/>
      </w:pPr>
      <w:r w:rsidRPr="00260C3F">
        <w:rPr>
          <w:rFonts w:ascii="Arial" w:hAnsi="Arial" w:cs="Arial"/>
        </w:rPr>
        <w:t>●</w:t>
      </w:r>
      <w:r w:rsidRPr="00260C3F">
        <w:t xml:space="preserve"> V m</w:t>
      </w:r>
      <w:r w:rsidRPr="00260C3F">
        <w:rPr>
          <w:rFonts w:cs="Neue Haas Grotesk Text Pro"/>
        </w:rPr>
        <w:t>ě</w:t>
      </w:r>
      <w:r w:rsidRPr="00260C3F">
        <w:t>s</w:t>
      </w:r>
      <w:r w:rsidRPr="00260C3F">
        <w:rPr>
          <w:rFonts w:cs="Neue Haas Grotesk Text Pro"/>
        </w:rPr>
        <w:t>í</w:t>
      </w:r>
      <w:r w:rsidRPr="00260C3F">
        <w:t>c</w:t>
      </w:r>
      <w:r w:rsidRPr="00260C3F">
        <w:rPr>
          <w:rFonts w:cs="Neue Haas Grotesk Text Pro"/>
        </w:rPr>
        <w:t>í</w:t>
      </w:r>
      <w:r w:rsidRPr="00260C3F">
        <w:t xml:space="preserve">ch </w:t>
      </w:r>
      <w:r w:rsidRPr="00260C3F">
        <w:rPr>
          <w:rFonts w:cs="Neue Haas Grotesk Text Pro"/>
        </w:rPr>
        <w:t>č</w:t>
      </w:r>
      <w:r w:rsidRPr="00260C3F">
        <w:t xml:space="preserve">erven, </w:t>
      </w:r>
      <w:r w:rsidRPr="00260C3F">
        <w:rPr>
          <w:rFonts w:cs="Neue Haas Grotesk Text Pro"/>
        </w:rPr>
        <w:t>č</w:t>
      </w:r>
      <w:r w:rsidRPr="00260C3F">
        <w:t>ervenec, srpen a z</w:t>
      </w:r>
      <w:r w:rsidRPr="00260C3F">
        <w:rPr>
          <w:rFonts w:cs="Neue Haas Grotesk Text Pro"/>
        </w:rPr>
        <w:t>áří</w:t>
      </w:r>
      <w:r w:rsidRPr="00260C3F">
        <w:t xml:space="preserve"> denn</w:t>
      </w:r>
      <w:r w:rsidRPr="00260C3F">
        <w:rPr>
          <w:rFonts w:cs="Neue Haas Grotesk Text Pro"/>
        </w:rPr>
        <w:t>ě</w:t>
      </w:r>
      <w:r w:rsidRPr="00260C3F">
        <w:t xml:space="preserve"> - v rozsahu 5 p</w:t>
      </w:r>
      <w:r w:rsidRPr="00260C3F">
        <w:rPr>
          <w:rFonts w:cs="Neue Haas Grotesk Text Pro"/>
        </w:rPr>
        <w:t>á</w:t>
      </w:r>
      <w:r w:rsidRPr="00260C3F">
        <w:t>r</w:t>
      </w:r>
      <w:r w:rsidRPr="00260C3F">
        <w:rPr>
          <w:rFonts w:cs="Neue Haas Grotesk Text Pro"/>
        </w:rPr>
        <w:t>ů</w:t>
      </w:r>
      <w:r w:rsidRPr="00260C3F">
        <w:t xml:space="preserve"> vlak</w:t>
      </w:r>
      <w:r w:rsidRPr="00260C3F">
        <w:rPr>
          <w:rFonts w:cs="Neue Haas Grotesk Text Pro"/>
        </w:rPr>
        <w:t>ů</w:t>
      </w:r>
      <w:r w:rsidRPr="00260C3F">
        <w:t xml:space="preserve"> </w:t>
      </w:r>
    </w:p>
    <w:p w14:paraId="2DA8DD75" w14:textId="77777777" w:rsidR="00286341" w:rsidRPr="00260C3F" w:rsidRDefault="00286341" w:rsidP="00260C3F">
      <w:pPr>
        <w:pStyle w:val="KUJKnormal"/>
      </w:pPr>
    </w:p>
    <w:p w14:paraId="42448C79" w14:textId="77777777" w:rsidR="00286341" w:rsidRPr="00260C3F" w:rsidRDefault="00286341" w:rsidP="00260C3F">
      <w:pPr>
        <w:pStyle w:val="KUJKnormal"/>
      </w:pPr>
      <w:r w:rsidRPr="00260C3F">
        <w:t>Při poptávaném ročním rozsahu nabízí dopravce cenu 242,93 Kč</w:t>
      </w:r>
      <w:r>
        <w:t>/vlkm</w:t>
      </w:r>
      <w:r w:rsidRPr="00260C3F">
        <w:t xml:space="preserve"> v brutto režimu. Při výchozím ročním rozsahu 50 000 vlkm se jedná o částku 12 146 500 Kč.</w:t>
      </w:r>
    </w:p>
    <w:p w14:paraId="5ACDD5EC" w14:textId="77777777" w:rsidR="00286341" w:rsidRPr="00260C3F" w:rsidRDefault="00286341" w:rsidP="00260C3F">
      <w:pPr>
        <w:pStyle w:val="KUJKnormal"/>
      </w:pPr>
    </w:p>
    <w:p w14:paraId="2594A204" w14:textId="77777777" w:rsidR="00286341" w:rsidRPr="00260C3F" w:rsidRDefault="00286341" w:rsidP="00260C3F">
      <w:pPr>
        <w:pStyle w:val="KUJKnormal"/>
      </w:pPr>
      <w:r w:rsidRPr="00260C3F">
        <w:t>Smlouvu o veřejných službách v přepravě cestujících po železnici je pak možné uzavřít, pokud předpokládaná průměrná roční hodnota bude činit méně než 7 500 000 EUR nebo se smlouva bude týkat poskytování méně než 500 000 kilometrů veřejných služeb v přepravě cestujících ročně. Pakliže je splněna alespoň jedna z uvedených podmínek, je možné smlouvu o veřejných službách v přepravě cestujících po železnici v souladu s čl. 5 odst. 4 Nařízení uzavřít. Čl. 7 odst. 2 nařízení č. 1370/2007 stanoví povinnost nejpozději 1 rok před zahájením nabídkového řízení nebo před přímým uzavřením smlouvy o veřejných službách zveřejnit v Úředním věstníku EU název a adresu příslušného orgánu, typ plánovaných smluv o veřejných službách a služby a oblasti, na něž se možné smlouvy o veřejných službách vztahují.</w:t>
      </w:r>
    </w:p>
    <w:p w14:paraId="521840C7" w14:textId="77777777" w:rsidR="00286341" w:rsidRPr="00260C3F" w:rsidRDefault="00286341" w:rsidP="00260C3F">
      <w:pPr>
        <w:pStyle w:val="KUJKnormal"/>
      </w:pPr>
    </w:p>
    <w:p w14:paraId="0779FD85" w14:textId="77777777" w:rsidR="00286341" w:rsidRPr="00260C3F" w:rsidRDefault="00286341" w:rsidP="00260C3F">
      <w:pPr>
        <w:pStyle w:val="KUJKnormal"/>
      </w:pPr>
      <w:r w:rsidRPr="00260C3F">
        <w:t xml:space="preserve">V usnesení se navrhuje zastupitelstvu kraje </w:t>
      </w:r>
      <w:r>
        <w:t xml:space="preserve">schválit </w:t>
      </w:r>
      <w:r w:rsidRPr="00260C3F">
        <w:t xml:space="preserve">záměr prenotifikace služeb k zajištění dopravní obslužnosti vlaky regionální dopravy na trati č. 229 zveřejněním ve Věstníku EU (TED) formou přímého zadání na dobu 5 let od 26. 03. 2027 do 13. 12. 2031.  </w:t>
      </w:r>
    </w:p>
    <w:p w14:paraId="6DFF8804" w14:textId="77777777" w:rsidR="00286341" w:rsidRPr="00937DE8" w:rsidRDefault="00286341" w:rsidP="00260C3F">
      <w:pPr>
        <w:pStyle w:val="KUJKnormal"/>
      </w:pPr>
    </w:p>
    <w:p w14:paraId="7F120433" w14:textId="77777777" w:rsidR="00286341" w:rsidRDefault="00286341" w:rsidP="00937DE8">
      <w:pPr>
        <w:pStyle w:val="KUJKPolozka"/>
      </w:pPr>
    </w:p>
    <w:p w14:paraId="71381761" w14:textId="77777777" w:rsidR="00286341" w:rsidRPr="00260C3F" w:rsidRDefault="00286341" w:rsidP="00260C3F">
      <w:pPr>
        <w:pStyle w:val="KUJKnormal"/>
      </w:pPr>
      <w:r>
        <w:t xml:space="preserve">Finanční nároky a krytí: </w:t>
      </w:r>
      <w:r w:rsidRPr="00260C3F">
        <w:t>nemá dopad do rozpočtu kraje na rok 2026</w:t>
      </w:r>
    </w:p>
    <w:p w14:paraId="0FE5D203" w14:textId="77777777" w:rsidR="00286341" w:rsidRDefault="00286341" w:rsidP="00D21668">
      <w:pPr>
        <w:pStyle w:val="KUJKnormal"/>
      </w:pPr>
    </w:p>
    <w:p w14:paraId="7EB6749C" w14:textId="77777777" w:rsidR="00286341" w:rsidRDefault="00286341" w:rsidP="00D21668">
      <w:pPr>
        <w:pStyle w:val="KUJKnormal"/>
      </w:pPr>
      <w:r>
        <w:t>Vyjádření správce rozpočtu: nevyžádáno</w:t>
      </w:r>
    </w:p>
    <w:p w14:paraId="38A4755D" w14:textId="77777777" w:rsidR="00286341" w:rsidRDefault="00286341" w:rsidP="00D21668">
      <w:pPr>
        <w:pStyle w:val="KUJKnormal"/>
      </w:pPr>
    </w:p>
    <w:p w14:paraId="183751D2" w14:textId="77777777" w:rsidR="00286341" w:rsidRDefault="00286341" w:rsidP="00D21668">
      <w:pPr>
        <w:pStyle w:val="KUJKnormal"/>
      </w:pPr>
      <w:r>
        <w:t>Návrh projednán (stanoviska):</w:t>
      </w:r>
    </w:p>
    <w:p w14:paraId="1D4AA162" w14:textId="77777777" w:rsidR="00286341" w:rsidRPr="00260C3F" w:rsidRDefault="00286341" w:rsidP="00260C3F">
      <w:pPr>
        <w:pStyle w:val="KUJKnormal"/>
      </w:pPr>
      <w:r w:rsidRPr="00260C3F">
        <w:t>JIKORD s.r.o.</w:t>
      </w:r>
    </w:p>
    <w:p w14:paraId="531DFA00" w14:textId="77777777" w:rsidR="00286341" w:rsidRPr="00260C3F" w:rsidRDefault="00286341" w:rsidP="00260C3F">
      <w:pPr>
        <w:pStyle w:val="KUJKnormal"/>
      </w:pPr>
      <w:r w:rsidRPr="00260C3F">
        <w:t>Dopravní výbor dne 3.2.2026 – doporučeno ke schválení</w:t>
      </w:r>
    </w:p>
    <w:p w14:paraId="400CC431" w14:textId="77777777" w:rsidR="00286341" w:rsidRDefault="00286341" w:rsidP="00260C3F">
      <w:pPr>
        <w:pStyle w:val="KUJKnormal"/>
      </w:pPr>
      <w:r w:rsidRPr="00260C3F">
        <w:t xml:space="preserve">Rada kraje  jednání dne 5.2.2026 doporučení ke schválení usnesením č. </w:t>
      </w:r>
      <w:r>
        <w:t>45/2026/RK-31</w:t>
      </w:r>
    </w:p>
    <w:p w14:paraId="44CF5EBF" w14:textId="77777777" w:rsidR="00286341" w:rsidRDefault="00286341" w:rsidP="00D21668">
      <w:pPr>
        <w:pStyle w:val="KUJKnormal"/>
      </w:pPr>
    </w:p>
    <w:p w14:paraId="6272A225" w14:textId="77777777" w:rsidR="00286341" w:rsidRPr="00260C3F" w:rsidRDefault="00286341" w:rsidP="00D21668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260C3F">
        <w:rPr>
          <w:b w:val="0"/>
          <w:bCs/>
        </w:rPr>
        <w:t>bez příloh</w:t>
      </w:r>
    </w:p>
    <w:p w14:paraId="62C360B2" w14:textId="77777777" w:rsidR="00286341" w:rsidRDefault="00286341" w:rsidP="00D21668">
      <w:pPr>
        <w:pStyle w:val="KUJKnormal"/>
      </w:pPr>
    </w:p>
    <w:p w14:paraId="7C618525" w14:textId="77777777" w:rsidR="00286341" w:rsidRPr="00260C3F" w:rsidRDefault="00286341" w:rsidP="00D21668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260C3F">
        <w:rPr>
          <w:b w:val="0"/>
        </w:rPr>
        <w:t>vedoucí ODSH – JUDr. Andrea Tetourová</w:t>
      </w:r>
    </w:p>
    <w:p w14:paraId="443DDFA4" w14:textId="77777777" w:rsidR="00286341" w:rsidRDefault="00286341" w:rsidP="00D21668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2315" w14:textId="77777777" w:rsidR="001415C5" w:rsidRDefault="001415C5" w:rsidP="002C5539">
      <w:r>
        <w:separator/>
      </w:r>
    </w:p>
  </w:endnote>
  <w:endnote w:type="continuationSeparator" w:id="0">
    <w:p w14:paraId="21665308" w14:textId="77777777" w:rsidR="001415C5" w:rsidRDefault="001415C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415C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415C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11BF" w14:textId="77777777" w:rsidR="001415C5" w:rsidRDefault="001415C5" w:rsidP="002C5539">
      <w:r>
        <w:separator/>
      </w:r>
    </w:p>
  </w:footnote>
  <w:footnote w:type="continuationSeparator" w:id="0">
    <w:p w14:paraId="18D2D702" w14:textId="77777777" w:rsidR="001415C5" w:rsidRDefault="001415C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7BC7" w14:textId="77777777" w:rsidR="00286341" w:rsidRDefault="00286341" w:rsidP="00286341">
    <w:r>
      <w:rPr>
        <w:noProof/>
      </w:rPr>
      <w:pict w14:anchorId="1C9D3B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016B06" w14:textId="77777777" w:rsidR="00286341" w:rsidRPr="00D405BE" w:rsidRDefault="00286341" w:rsidP="0028634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B738B29" w14:textId="77777777" w:rsidR="00286341" w:rsidRPr="00D405BE" w:rsidRDefault="00286341" w:rsidP="0028634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153F2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324B35A">
        <v:rect id="_x0000_i1026" style="width:481.9pt;height:2pt" o:hralign="center" o:hrstd="t" o:hrnoshade="t" o:hr="t" fillcolor="black" stroked="f"/>
      </w:pict>
    </w:r>
  </w:p>
  <w:p w14:paraId="29F74194" w14:textId="77777777" w:rsidR="00286341" w:rsidRPr="00286341" w:rsidRDefault="00286341" w:rsidP="002863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15C5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341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3C3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2026-02-23T06:21:00Z</dcterms:created>
  <dcterms:modified xsi:type="dcterms:W3CDTF">2026-02-23T06:21:00Z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6988154</vt:i4>
  </property>
  <property fmtid="{D5CDD505-2E9C-101B-9397-08002B2CF9AE}" pid="5" name="UlozitJako">
    <vt:lpwstr>C:\Users\mrazkova\AppData\Local\Temp\iU98955936\Zastupitelstvo\2026-02-19\Navrhy\40-ZK-26.</vt:lpwstr>
  </property>
  <property fmtid="{D5CDD505-2E9C-101B-9397-08002B2CF9AE}" pid="6" name="Zpracovat">
    <vt:bool>false</vt:bool>
  </property>
</Properties>
</file>