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2367AE5E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EE79FB" w:rsidRPr="00291A06">
        <w:rPr>
          <w:rFonts w:ascii="Neue Haas Grotesk Text Pro" w:hAnsi="Neue Haas Grotesk Text Pro"/>
          <w:b/>
          <w:bCs/>
          <w:sz w:val="20"/>
          <w:szCs w:val="20"/>
        </w:rPr>
        <w:t>10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3EC96BD7" w:rsidR="00D321F7" w:rsidRPr="001B16C2" w:rsidRDefault="001B16C2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B16C2">
        <w:rPr>
          <w:rFonts w:ascii="Neue Haas Grotesk Text Pro" w:hAnsi="Neue Haas Grotesk Text Pro"/>
          <w:b/>
          <w:bCs/>
          <w:sz w:val="20"/>
          <w:szCs w:val="20"/>
        </w:rPr>
        <w:t>Jihočeská filharmonie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1438F705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1B16C2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1B16C2">
        <w:rPr>
          <w:rFonts w:ascii="Neue Haas Grotesk Text Pro" w:hAnsi="Neue Haas Grotesk Text Pro"/>
          <w:sz w:val="20"/>
          <w:szCs w:val="20"/>
        </w:rPr>
        <w:t>202</w:t>
      </w:r>
      <w:r w:rsidR="001B16C2">
        <w:rPr>
          <w:rFonts w:ascii="Neue Haas Grotesk Text Pro" w:hAnsi="Neue Haas Grotesk Text Pro"/>
          <w:sz w:val="20"/>
          <w:szCs w:val="20"/>
        </w:rPr>
        <w:t>5</w:t>
      </w:r>
      <w:r w:rsidRPr="001B16C2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B16C2">
        <w:rPr>
          <w:rFonts w:ascii="Neue Haas Grotesk Text Pro" w:hAnsi="Neue Haas Grotesk Text Pro"/>
          <w:sz w:val="20"/>
          <w:szCs w:val="20"/>
        </w:rPr>
        <w:t>202</w:t>
      </w:r>
      <w:r w:rsidR="001B16C2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1B16C2">
        <w:rPr>
          <w:rFonts w:ascii="Neue Haas Grotesk Text Pro" w:hAnsi="Neue Haas Grotesk Text Pro"/>
          <w:sz w:val="20"/>
          <w:szCs w:val="20"/>
        </w:rPr>
        <w:t>Jihočeská filharmonie, Kněžská 411/6, České Budějovice 1, 370 01 České Budějovice,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B16C2">
        <w:rPr>
          <w:rFonts w:ascii="Neue Haas Grotesk Text Pro" w:hAnsi="Neue Haas Grotesk Text Pro"/>
          <w:sz w:val="20"/>
          <w:szCs w:val="20"/>
        </w:rPr>
        <w:t xml:space="preserve">IČO: </w:t>
      </w:r>
      <w:r w:rsidR="001B16C2" w:rsidRPr="001B16C2">
        <w:rPr>
          <w:rFonts w:ascii="Neue Haas Grotesk Text Pro" w:hAnsi="Neue Haas Grotesk Text Pro"/>
          <w:sz w:val="20"/>
          <w:szCs w:val="20"/>
        </w:rPr>
        <w:t>00396036</w:t>
      </w:r>
      <w:r w:rsidRPr="001B16C2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1B16C2">
        <w:rPr>
          <w:rFonts w:ascii="Neue Haas Grotesk Text Pro" w:hAnsi="Neue Haas Grotesk Text Pro"/>
          <w:sz w:val="20"/>
          <w:szCs w:val="20"/>
        </w:rPr>
        <w:t xml:space="preserve">14. 4. 2003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46984724" w14:textId="4169DF2B" w:rsidR="00474F2D" w:rsidRPr="008E5A63" w:rsidRDefault="00474F2D" w:rsidP="008E5A63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1B8D8075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1B16C2">
        <w:rPr>
          <w:rFonts w:ascii="Neue Haas Grotesk Text Pro" w:hAnsi="Neue Haas Grotesk Text Pro"/>
          <w:sz w:val="20"/>
          <w:szCs w:val="20"/>
        </w:rPr>
        <w:t>Jihočeská filharmonie</w:t>
      </w:r>
    </w:p>
    <w:p w14:paraId="1EB28211" w14:textId="24D8D4BB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1B16C2">
        <w:rPr>
          <w:rFonts w:ascii="Neue Haas Grotesk Text Pro" w:hAnsi="Neue Haas Grotesk Text Pro"/>
          <w:sz w:val="20"/>
          <w:szCs w:val="20"/>
        </w:rPr>
        <w:t>Kněžská 411/6, České Budějovice 1, 370 01 České Budějovice</w:t>
      </w:r>
    </w:p>
    <w:p w14:paraId="36131167" w14:textId="5DB2D6E4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1B16C2">
        <w:rPr>
          <w:rFonts w:ascii="Neue Haas Grotesk Text Pro" w:hAnsi="Neue Haas Grotesk Text Pro"/>
          <w:sz w:val="20"/>
          <w:szCs w:val="20"/>
        </w:rPr>
        <w:t>00396036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622155AF" w:rsidR="00474F2D" w:rsidRPr="009108B1" w:rsidRDefault="001B16C2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B16C2">
        <w:rPr>
          <w:rFonts w:ascii="Neue Haas Grotesk Text Pro" w:hAnsi="Neue Haas Grotesk Text Pro"/>
          <w:sz w:val="20"/>
          <w:szCs w:val="20"/>
        </w:rPr>
        <w:t>Jihočeská filharmonie</w:t>
      </w:r>
      <w:r w:rsidR="0094620C" w:rsidRPr="001B16C2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69298582" w:rsidR="00C94809" w:rsidRDefault="001B16C2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B16C2">
        <w:rPr>
          <w:rFonts w:ascii="Neue Haas Grotesk Text Pro" w:hAnsi="Neue Haas Grotesk Text Pro"/>
          <w:sz w:val="20"/>
          <w:szCs w:val="20"/>
        </w:rPr>
        <w:t>Jihočeská filharmonie</w:t>
      </w:r>
      <w:r w:rsidR="0094620C" w:rsidRPr="001B16C2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1B16C2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1B16C2">
        <w:rPr>
          <w:rFonts w:ascii="Neue Haas Grotesk Text Pro" w:hAnsi="Neue Haas Grotesk Text Pro"/>
          <w:sz w:val="20"/>
          <w:szCs w:val="20"/>
        </w:rPr>
        <w:t>Jihočeská komorní filharmonie České Budějovice</w:t>
      </w:r>
      <w:r w:rsidR="00C94809" w:rsidRPr="001B16C2">
        <w:rPr>
          <w:rFonts w:ascii="Neue Haas Grotesk Text Pro" w:hAnsi="Neue Haas Grotesk Text Pro"/>
          <w:sz w:val="20"/>
          <w:szCs w:val="20"/>
        </w:rPr>
        <w:t xml:space="preserve"> zřizované Českou republikou – Okresním úřadem v</w:t>
      </w:r>
      <w:r w:rsidRPr="001B16C2">
        <w:rPr>
          <w:rFonts w:ascii="Neue Haas Grotesk Text Pro" w:hAnsi="Neue Haas Grotesk Text Pro"/>
          <w:sz w:val="20"/>
          <w:szCs w:val="20"/>
        </w:rPr>
        <w:t> Českých Budějovicích a</w:t>
      </w:r>
      <w:r w:rsidR="00C94809" w:rsidRPr="001B16C2">
        <w:rPr>
          <w:rFonts w:ascii="Neue Haas Grotesk Text Pro" w:hAnsi="Neue Haas Grotesk Text Pro"/>
          <w:sz w:val="20"/>
          <w:szCs w:val="20"/>
        </w:rPr>
        <w:t xml:space="preserve"> přebírá v plném rozsahu její práva a povinnosti.</w:t>
      </w:r>
      <w:r w:rsidR="0094620C" w:rsidRPr="001B16C2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CC9DBB4" w14:textId="77777777" w:rsidR="001B16C2" w:rsidRPr="001B16C2" w:rsidRDefault="001B16C2" w:rsidP="001B16C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5DCCC99D" w14:textId="145F7FF4" w:rsidR="001B16C2" w:rsidRPr="001B16C2" w:rsidRDefault="00C94809" w:rsidP="001B16C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B16C2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1AE94854" w14:textId="77777777" w:rsidR="00D53625" w:rsidRPr="00D53625" w:rsidRDefault="00D53625" w:rsidP="00CE175D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53625">
        <w:rPr>
          <w:rFonts w:ascii="Neue Haas Grotesk Text Pro" w:hAnsi="Neue Haas Grotesk Text Pro"/>
          <w:sz w:val="20"/>
          <w:szCs w:val="20"/>
        </w:rPr>
        <w:t xml:space="preserve">Příspěvková organizace je zřízena za účelem poskytování veřejných služeb v kultuře </w:t>
      </w:r>
      <w:r w:rsidRPr="00D53625">
        <w:rPr>
          <w:rFonts w:ascii="Neue Haas Grotesk Text Pro" w:hAnsi="Neue Haas Grotesk Text Pro"/>
          <w:sz w:val="20"/>
          <w:szCs w:val="20"/>
        </w:rPr>
        <w:br/>
        <w:t>se zaměřením na koncertní činnost v oblasti profesionálního hudebního umění s cílem uspokojovat kulturní potřeby a zájmy široké veřejnosti.</w:t>
      </w:r>
    </w:p>
    <w:p w14:paraId="3EBEC427" w14:textId="77777777" w:rsidR="00934015" w:rsidRDefault="00934015" w:rsidP="00934015">
      <w:pPr>
        <w:pStyle w:val="Odstavecseseznamem"/>
        <w:jc w:val="both"/>
        <w:rPr>
          <w:rFonts w:ascii="Neue Haas Grotesk Text Pro" w:hAnsi="Neue Haas Grotesk Text Pro"/>
          <w:sz w:val="20"/>
          <w:szCs w:val="20"/>
        </w:rPr>
      </w:pPr>
    </w:p>
    <w:p w14:paraId="3BE5080C" w14:textId="0D00CA81" w:rsidR="00B23C10" w:rsidRPr="00934015" w:rsidRDefault="00B601C5" w:rsidP="001B16C2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Předmět hlavní činnosti organizace zahrnuje zejména:</w:t>
      </w:r>
    </w:p>
    <w:p w14:paraId="0D976E36" w14:textId="77777777" w:rsidR="00934015" w:rsidRDefault="00934015" w:rsidP="00934015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59786826" w14:textId="6A03A77D" w:rsidR="00D53625" w:rsidRPr="00D53625" w:rsidRDefault="00D53625" w:rsidP="00D5362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53625">
        <w:rPr>
          <w:rFonts w:ascii="Neue Haas Grotesk Text Pro" w:hAnsi="Neue Haas Grotesk Text Pro"/>
          <w:color w:val="000000" w:themeColor="text1"/>
          <w:sz w:val="20"/>
          <w:szCs w:val="20"/>
        </w:rPr>
        <w:t>Pořádání a realizaci koncertů, pořadů, přehlídek a festivalů, především v oblasti hudebního umění, a dalších uměleckých programů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F01FAE9" w14:textId="71B791DE" w:rsidR="00D53625" w:rsidRPr="00D86F7F" w:rsidRDefault="00D53625" w:rsidP="00D5362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86F7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a propagační činnost – </w:t>
      </w:r>
      <w:r w:rsidR="00D86F7F" w:rsidRPr="00D86F7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Pr="00D86F7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grafickou přípravu a tvorbu tiskovin </w:t>
      </w:r>
      <w:proofErr w:type="spellStart"/>
      <w:r w:rsidRPr="00D86F7F">
        <w:rPr>
          <w:rFonts w:ascii="Neue Haas Grotesk Text Pro" w:hAnsi="Neue Haas Grotesk Text Pro"/>
          <w:color w:val="000000" w:themeColor="text1"/>
          <w:sz w:val="20"/>
          <w:szCs w:val="20"/>
        </w:rPr>
        <w:t>apropagačních</w:t>
      </w:r>
      <w:proofErr w:type="spellEnd"/>
      <w:r w:rsidRPr="00D86F7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materiálů, vydávání, veřejné šíření a prodej tiskovin a dalších edičních materiálů a předmětů za účelem prezentace činnosti organizace.</w:t>
      </w:r>
    </w:p>
    <w:p w14:paraId="7095F2ED" w14:textId="293D675D" w:rsidR="00D53625" w:rsidRPr="00D53625" w:rsidRDefault="00D53625" w:rsidP="00D5362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53625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Pořizování a šíření zvukových a obrazových záznamů koncertů a uměleckých akcí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39561B6" w14:textId="2CED06B2" w:rsidR="00D53625" w:rsidRPr="00D53625" w:rsidRDefault="00D53625" w:rsidP="00D5362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53625">
        <w:rPr>
          <w:rFonts w:ascii="Neue Haas Grotesk Text Pro" w:hAnsi="Neue Haas Grotesk Text Pro"/>
          <w:color w:val="000000" w:themeColor="text1"/>
          <w:sz w:val="20"/>
          <w:szCs w:val="20"/>
        </w:rPr>
        <w:t>Spolupráci s veřejností a institucemi v oblasti kultury v tuzemsku i v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D53625">
        <w:rPr>
          <w:rFonts w:ascii="Neue Haas Grotesk Text Pro" w:hAnsi="Neue Haas Grotesk Text Pro"/>
          <w:color w:val="000000" w:themeColor="text1"/>
          <w:sz w:val="20"/>
          <w:szCs w:val="20"/>
        </w:rPr>
        <w:t>zahraničí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75CE0E6" w14:textId="77777777" w:rsidR="00934015" w:rsidRDefault="0093401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7265683D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8556099" w:rsidR="00B601C5" w:rsidRPr="009108B1" w:rsidRDefault="00B601C5" w:rsidP="00D41E8F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D41E8F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D41E8F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D41E8F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D41E8F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298FDDBC" w14:textId="7D158B22" w:rsidR="00AD1F72" w:rsidRDefault="00B601C5" w:rsidP="00AD1F72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A327BF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5ECE36FB" w:rsidR="00B601C5" w:rsidRPr="00AD1F72" w:rsidRDefault="00AD1F72" w:rsidP="00AD1F72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7132E6C0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A327BF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0817A4C3" w14:textId="77777777" w:rsidR="00496BB4" w:rsidRPr="00D56D4B" w:rsidRDefault="00496BB4" w:rsidP="00496BB4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2C358C85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496BB4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1459E245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8E2B4E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4ADF2E0C" w14:textId="77777777" w:rsidR="00496BB4" w:rsidRPr="00967FBC" w:rsidRDefault="00496BB4" w:rsidP="00496BB4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6EF67167" w14:textId="77777777" w:rsidR="00496BB4" w:rsidRPr="00967FBC" w:rsidRDefault="00496BB4" w:rsidP="00496BB4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695D99" w14:textId="37A3548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A327B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0838A70E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006D69EE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00857887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1B6D74D7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51281802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0A2DE341" w14:textId="5020FFA0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A327B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1D73DA3B" w14:textId="77777777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0087C3F5" w14:textId="4E719D30" w:rsidR="00496BB4" w:rsidRPr="005A6080" w:rsidRDefault="00496BB4" w:rsidP="00496BB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B578C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73753C28" w14:textId="77777777" w:rsidR="00496BB4" w:rsidRPr="00967FBC" w:rsidRDefault="00496BB4" w:rsidP="00496BB4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391C689" w14:textId="77777777" w:rsidR="00496BB4" w:rsidRPr="00967FBC" w:rsidRDefault="00496BB4" w:rsidP="00496BB4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3A7A72D3" w14:textId="77777777" w:rsidR="00496BB4" w:rsidRPr="00967FBC" w:rsidRDefault="00496BB4" w:rsidP="00496BB4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0693E8A4" w14:textId="77777777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735082D6" w14:textId="77777777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72B852D6" w14:textId="0846A0A3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B578C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244EC8C4" w14:textId="3567AD2E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a</w:t>
      </w:r>
      <w:r w:rsidR="00B578C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B578C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7D78C5C4" w14:textId="77777777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1D47E3BF" w14:textId="77777777" w:rsidR="00496BB4" w:rsidRPr="005A6080" w:rsidRDefault="00496BB4" w:rsidP="00496BB4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75AD4C7D" w14:textId="0E7E5620" w:rsidR="00AD1F72" w:rsidRDefault="00496BB4" w:rsidP="009814D5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588290CD" w14:textId="77777777" w:rsidR="009814D5" w:rsidRPr="009814D5" w:rsidRDefault="009814D5" w:rsidP="009814D5">
      <w:pPr>
        <w:pStyle w:val="Odstavecseseznamem"/>
        <w:spacing w:after="120"/>
        <w:ind w:left="1134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230296F4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496BB4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B578C8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B578C8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8E2B4E" w:rsidRDefault="006A0E55" w:rsidP="008E2B4E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8E2B4E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8E2B4E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8E2B4E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8E2B4E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8E2B4E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8E2B4E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8E2B4E">
        <w:rPr>
          <w:rFonts w:ascii="Neue Haas Grotesk Text Pro" w:hAnsi="Neue Haas Grotesk Text Pro"/>
          <w:sz w:val="20"/>
          <w:szCs w:val="20"/>
        </w:rPr>
        <w:t>s</w:t>
      </w:r>
      <w:r w:rsidR="005E1E99" w:rsidRPr="008E2B4E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45817C04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42B5" w14:textId="77777777" w:rsidR="00E435CF" w:rsidRDefault="00E435CF" w:rsidP="004C0CBF">
      <w:r>
        <w:separator/>
      </w:r>
    </w:p>
  </w:endnote>
  <w:endnote w:type="continuationSeparator" w:id="0">
    <w:p w14:paraId="42D13F22" w14:textId="77777777" w:rsidR="00E435CF" w:rsidRDefault="00E435CF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3D4B" w14:textId="77777777" w:rsidR="00E435CF" w:rsidRDefault="00E435CF" w:rsidP="004C0CBF">
      <w:r>
        <w:separator/>
      </w:r>
    </w:p>
  </w:footnote>
  <w:footnote w:type="continuationSeparator" w:id="0">
    <w:p w14:paraId="7800CC7A" w14:textId="77777777" w:rsidR="00E435CF" w:rsidRDefault="00E435CF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B54F" w14:textId="0F35CBB2" w:rsidR="002D49F8" w:rsidRDefault="002D49F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D41DF2" wp14:editId="2E9A19A8">
              <wp:simplePos x="0" y="0"/>
              <wp:positionH relativeFrom="margin">
                <wp:align>right</wp:align>
              </wp:positionH>
              <wp:positionV relativeFrom="paragraph">
                <wp:posOffset>-320040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72BFB" w14:textId="538092B7" w:rsidR="002D49F8" w:rsidRPr="00443F16" w:rsidRDefault="00443F16" w:rsidP="00443F16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443F16">
                            <w:rPr>
                              <w:rFonts w:ascii="CKKrausSmall" w:hAnsi="CKKrausSmall"/>
                              <w:sz w:val="64"/>
                            </w:rPr>
                            <w:t>*KUCBX01JMNHO*</w:t>
                          </w:r>
                        </w:p>
                        <w:p w14:paraId="5C56F169" w14:textId="46735DF1" w:rsidR="00443F16" w:rsidRPr="00443F16" w:rsidRDefault="00443F16" w:rsidP="00443F1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443F16">
                            <w:rPr>
                              <w:rFonts w:ascii="Arial" w:hAnsi="Arial"/>
                              <w:sz w:val="20"/>
                            </w:rPr>
                            <w:t>KUCBX01JMNHO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D41D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4.7pt;margin-top:-25.2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PGT&#10;173fAAAACAEAAA8AAAAAAAAAAAAAAAAAaAQAAGRycy9kb3ducmV2LnhtbFBLBQYAAAAABAAEAPMA&#10;AAB0BQAAAAA=&#10;" stroked="f">
              <v:textbox style="mso-fit-shape-to-text:t">
                <w:txbxContent>
                  <w:p w14:paraId="5B272BFB" w14:textId="538092B7" w:rsidR="002D49F8" w:rsidRPr="00443F16" w:rsidRDefault="00443F16" w:rsidP="00443F16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443F16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443F16">
                      <w:rPr>
                        <w:rFonts w:ascii="CKKrausSmall" w:hAnsi="CKKrausSmall"/>
                        <w:sz w:val="64"/>
                      </w:rPr>
                      <w:t>KUCBX01JMNHO</w:t>
                    </w:r>
                    <w:r w:rsidRPr="00443F16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5C56F169" w14:textId="46735DF1" w:rsidR="00443F16" w:rsidRPr="00443F16" w:rsidRDefault="00443F16" w:rsidP="00443F1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443F16">
                      <w:rPr>
                        <w:rFonts w:ascii="Arial" w:hAnsi="Arial"/>
                        <w:sz w:val="20"/>
                      </w:rPr>
                      <w:t>KUCBX01JMNHO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80D9C"/>
    <w:multiLevelType w:val="hybridMultilevel"/>
    <w:tmpl w:val="49A0E99E"/>
    <w:lvl w:ilvl="0" w:tplc="708A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939BD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8"/>
  </w:num>
  <w:num w:numId="6" w16cid:durableId="2048018199">
    <w:abstractNumId w:val="34"/>
  </w:num>
  <w:num w:numId="7" w16cid:durableId="321979196">
    <w:abstractNumId w:val="15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0"/>
  </w:num>
  <w:num w:numId="12" w16cid:durableId="2038920753">
    <w:abstractNumId w:val="33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29"/>
  </w:num>
  <w:num w:numId="19" w16cid:durableId="253786022">
    <w:abstractNumId w:val="1"/>
  </w:num>
  <w:num w:numId="20" w16cid:durableId="233856963">
    <w:abstractNumId w:val="18"/>
  </w:num>
  <w:num w:numId="21" w16cid:durableId="779030564">
    <w:abstractNumId w:val="27"/>
  </w:num>
  <w:num w:numId="22" w16cid:durableId="2029983322">
    <w:abstractNumId w:val="9"/>
  </w:num>
  <w:num w:numId="23" w16cid:durableId="159322127">
    <w:abstractNumId w:val="19"/>
  </w:num>
  <w:num w:numId="24" w16cid:durableId="280918568">
    <w:abstractNumId w:val="32"/>
  </w:num>
  <w:num w:numId="25" w16cid:durableId="1080328111">
    <w:abstractNumId w:val="13"/>
  </w:num>
  <w:num w:numId="26" w16cid:durableId="99878872">
    <w:abstractNumId w:val="17"/>
  </w:num>
  <w:num w:numId="27" w16cid:durableId="1893542773">
    <w:abstractNumId w:val="31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6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8650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7748387">
    <w:abstractNumId w:val="20"/>
  </w:num>
  <w:num w:numId="36" w16cid:durableId="1596744835">
    <w:abstractNumId w:val="14"/>
  </w:num>
  <w:num w:numId="37" w16cid:durableId="1859000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306C1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5424"/>
    <w:rsid w:val="00171858"/>
    <w:rsid w:val="00196891"/>
    <w:rsid w:val="00197291"/>
    <w:rsid w:val="001976F3"/>
    <w:rsid w:val="001B16C2"/>
    <w:rsid w:val="001B7333"/>
    <w:rsid w:val="001F4C54"/>
    <w:rsid w:val="00201B32"/>
    <w:rsid w:val="00207EBE"/>
    <w:rsid w:val="00211A7A"/>
    <w:rsid w:val="00227C42"/>
    <w:rsid w:val="00230D5C"/>
    <w:rsid w:val="00234224"/>
    <w:rsid w:val="00255AA9"/>
    <w:rsid w:val="00265D6D"/>
    <w:rsid w:val="00281427"/>
    <w:rsid w:val="002845F3"/>
    <w:rsid w:val="00291840"/>
    <w:rsid w:val="00291A06"/>
    <w:rsid w:val="002A4295"/>
    <w:rsid w:val="002B45DE"/>
    <w:rsid w:val="002D35E2"/>
    <w:rsid w:val="002D49F8"/>
    <w:rsid w:val="002F7D6F"/>
    <w:rsid w:val="00303BE3"/>
    <w:rsid w:val="003405EE"/>
    <w:rsid w:val="0038299A"/>
    <w:rsid w:val="0039761E"/>
    <w:rsid w:val="003A2807"/>
    <w:rsid w:val="003D1F82"/>
    <w:rsid w:val="003D25C8"/>
    <w:rsid w:val="003F08A1"/>
    <w:rsid w:val="00402B0B"/>
    <w:rsid w:val="00404BE6"/>
    <w:rsid w:val="00405497"/>
    <w:rsid w:val="00414C2C"/>
    <w:rsid w:val="00443F16"/>
    <w:rsid w:val="00451BE8"/>
    <w:rsid w:val="00454894"/>
    <w:rsid w:val="00474F2D"/>
    <w:rsid w:val="00481E44"/>
    <w:rsid w:val="004955CE"/>
    <w:rsid w:val="00496BB4"/>
    <w:rsid w:val="004A56D4"/>
    <w:rsid w:val="004B0659"/>
    <w:rsid w:val="004C0CBF"/>
    <w:rsid w:val="004C3ACC"/>
    <w:rsid w:val="004D635A"/>
    <w:rsid w:val="004E24DA"/>
    <w:rsid w:val="004F7C81"/>
    <w:rsid w:val="00503D03"/>
    <w:rsid w:val="0053214B"/>
    <w:rsid w:val="00534E3B"/>
    <w:rsid w:val="005431A3"/>
    <w:rsid w:val="005436CE"/>
    <w:rsid w:val="00544423"/>
    <w:rsid w:val="00554D89"/>
    <w:rsid w:val="00565221"/>
    <w:rsid w:val="005A7E58"/>
    <w:rsid w:val="005B1196"/>
    <w:rsid w:val="005B32E3"/>
    <w:rsid w:val="005B4B28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A0E55"/>
    <w:rsid w:val="006B730F"/>
    <w:rsid w:val="006D0939"/>
    <w:rsid w:val="00701C16"/>
    <w:rsid w:val="0073782E"/>
    <w:rsid w:val="00767377"/>
    <w:rsid w:val="00772CED"/>
    <w:rsid w:val="00793F6F"/>
    <w:rsid w:val="00797959"/>
    <w:rsid w:val="007A17D5"/>
    <w:rsid w:val="007A3406"/>
    <w:rsid w:val="007C5619"/>
    <w:rsid w:val="007E6F79"/>
    <w:rsid w:val="00801056"/>
    <w:rsid w:val="008028D7"/>
    <w:rsid w:val="00831C4B"/>
    <w:rsid w:val="00843A70"/>
    <w:rsid w:val="00865064"/>
    <w:rsid w:val="008655C5"/>
    <w:rsid w:val="00872A15"/>
    <w:rsid w:val="00876412"/>
    <w:rsid w:val="008A0D9A"/>
    <w:rsid w:val="008D2719"/>
    <w:rsid w:val="008D3DF8"/>
    <w:rsid w:val="008E2B4E"/>
    <w:rsid w:val="008E2D53"/>
    <w:rsid w:val="008E5A63"/>
    <w:rsid w:val="009042A9"/>
    <w:rsid w:val="009108B1"/>
    <w:rsid w:val="009279AE"/>
    <w:rsid w:val="00933166"/>
    <w:rsid w:val="00934015"/>
    <w:rsid w:val="00944183"/>
    <w:rsid w:val="0094620C"/>
    <w:rsid w:val="009550FD"/>
    <w:rsid w:val="0095634A"/>
    <w:rsid w:val="00967FBC"/>
    <w:rsid w:val="009762CB"/>
    <w:rsid w:val="00977593"/>
    <w:rsid w:val="00980AB3"/>
    <w:rsid w:val="009814D5"/>
    <w:rsid w:val="00983A6E"/>
    <w:rsid w:val="00990D17"/>
    <w:rsid w:val="009A741B"/>
    <w:rsid w:val="009C6B82"/>
    <w:rsid w:val="009E5E0F"/>
    <w:rsid w:val="009E708C"/>
    <w:rsid w:val="00A06AEF"/>
    <w:rsid w:val="00A14588"/>
    <w:rsid w:val="00A1783B"/>
    <w:rsid w:val="00A2137D"/>
    <w:rsid w:val="00A22139"/>
    <w:rsid w:val="00A30225"/>
    <w:rsid w:val="00A327BF"/>
    <w:rsid w:val="00A406EA"/>
    <w:rsid w:val="00A41B8E"/>
    <w:rsid w:val="00A55A31"/>
    <w:rsid w:val="00A720FF"/>
    <w:rsid w:val="00A97F31"/>
    <w:rsid w:val="00AA3711"/>
    <w:rsid w:val="00AB486C"/>
    <w:rsid w:val="00AD1F72"/>
    <w:rsid w:val="00AE4C9E"/>
    <w:rsid w:val="00AE5933"/>
    <w:rsid w:val="00AF136C"/>
    <w:rsid w:val="00B03E8E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4248"/>
    <w:rsid w:val="00B578C8"/>
    <w:rsid w:val="00B601C5"/>
    <w:rsid w:val="00B63A2B"/>
    <w:rsid w:val="00B81525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C11575"/>
    <w:rsid w:val="00C345F2"/>
    <w:rsid w:val="00C37A31"/>
    <w:rsid w:val="00C51284"/>
    <w:rsid w:val="00C572C8"/>
    <w:rsid w:val="00C74562"/>
    <w:rsid w:val="00C860D5"/>
    <w:rsid w:val="00C94809"/>
    <w:rsid w:val="00CA177A"/>
    <w:rsid w:val="00CB03F6"/>
    <w:rsid w:val="00CB328B"/>
    <w:rsid w:val="00CD057F"/>
    <w:rsid w:val="00CE175D"/>
    <w:rsid w:val="00CE45E9"/>
    <w:rsid w:val="00CF7F7E"/>
    <w:rsid w:val="00D02813"/>
    <w:rsid w:val="00D034A3"/>
    <w:rsid w:val="00D321F7"/>
    <w:rsid w:val="00D41574"/>
    <w:rsid w:val="00D41E8F"/>
    <w:rsid w:val="00D43000"/>
    <w:rsid w:val="00D43723"/>
    <w:rsid w:val="00D53625"/>
    <w:rsid w:val="00D70E08"/>
    <w:rsid w:val="00D86F7F"/>
    <w:rsid w:val="00DE21EC"/>
    <w:rsid w:val="00E05098"/>
    <w:rsid w:val="00E435CF"/>
    <w:rsid w:val="00E56D8C"/>
    <w:rsid w:val="00E6063D"/>
    <w:rsid w:val="00E6522A"/>
    <w:rsid w:val="00E70A88"/>
    <w:rsid w:val="00EA1C58"/>
    <w:rsid w:val="00EB6ED0"/>
    <w:rsid w:val="00ED0DA4"/>
    <w:rsid w:val="00EE79FB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1428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18</cp:revision>
  <cp:lastPrinted>2025-11-13T08:55:00Z</cp:lastPrinted>
  <dcterms:created xsi:type="dcterms:W3CDTF">2025-11-13T15:09:00Z</dcterms:created>
  <dcterms:modified xsi:type="dcterms:W3CDTF">2025-11-25T10:15:00Z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