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3579C" w14:paraId="44D1C9AD" w14:textId="77777777" w:rsidTr="004851D3">
        <w:trPr>
          <w:trHeight w:hRule="exact" w:val="397"/>
        </w:trPr>
        <w:tc>
          <w:tcPr>
            <w:tcW w:w="2376" w:type="dxa"/>
            <w:hideMark/>
          </w:tcPr>
          <w:p w14:paraId="461DCA67" w14:textId="77777777" w:rsidR="0073579C" w:rsidRDefault="0073579C" w:rsidP="00970720">
            <w:pPr>
              <w:pStyle w:val="KUJKtucny"/>
            </w:pPr>
            <w:r>
              <w:t>Datum jednání:</w:t>
            </w:r>
          </w:p>
        </w:tc>
        <w:tc>
          <w:tcPr>
            <w:tcW w:w="3828" w:type="dxa"/>
            <w:hideMark/>
          </w:tcPr>
          <w:p w14:paraId="7FEAA1AA" w14:textId="77777777" w:rsidR="0073579C" w:rsidRDefault="0073579C" w:rsidP="00970720">
            <w:pPr>
              <w:pStyle w:val="KUJKnormal"/>
            </w:pPr>
            <w:r>
              <w:t>18. 12. 2025</w:t>
            </w:r>
          </w:p>
        </w:tc>
        <w:tc>
          <w:tcPr>
            <w:tcW w:w="2126" w:type="dxa"/>
            <w:hideMark/>
          </w:tcPr>
          <w:p w14:paraId="6748E533" w14:textId="77777777" w:rsidR="0073579C" w:rsidRDefault="0073579C" w:rsidP="00970720">
            <w:pPr>
              <w:pStyle w:val="KUJKtucny"/>
            </w:pPr>
            <w:r>
              <w:t xml:space="preserve">Bod programu: </w:t>
            </w:r>
            <w:r w:rsidRPr="00583C66">
              <w:rPr>
                <w:rFonts w:ascii="Arial" w:hAnsi="Arial" w:cs="Arial"/>
                <w:sz w:val="32"/>
                <w:szCs w:val="32"/>
              </w:rPr>
              <w:t>37</w:t>
            </w:r>
          </w:p>
        </w:tc>
        <w:tc>
          <w:tcPr>
            <w:tcW w:w="850" w:type="dxa"/>
          </w:tcPr>
          <w:p w14:paraId="728DCBD6" w14:textId="77777777" w:rsidR="0073579C" w:rsidRDefault="0073579C" w:rsidP="00970720">
            <w:pPr>
              <w:pStyle w:val="KUJKnormal"/>
            </w:pPr>
          </w:p>
        </w:tc>
      </w:tr>
      <w:tr w:rsidR="0073579C" w14:paraId="459BD071" w14:textId="77777777" w:rsidTr="004851D3">
        <w:trPr>
          <w:cantSplit/>
          <w:trHeight w:hRule="exact" w:val="397"/>
        </w:trPr>
        <w:tc>
          <w:tcPr>
            <w:tcW w:w="2376" w:type="dxa"/>
            <w:hideMark/>
          </w:tcPr>
          <w:p w14:paraId="3F32D248" w14:textId="77777777" w:rsidR="0073579C" w:rsidRDefault="0073579C" w:rsidP="00970720">
            <w:pPr>
              <w:pStyle w:val="KUJKtucny"/>
            </w:pPr>
            <w:r>
              <w:t>Číslo návrhu:</w:t>
            </w:r>
          </w:p>
        </w:tc>
        <w:tc>
          <w:tcPr>
            <w:tcW w:w="6804" w:type="dxa"/>
            <w:gridSpan w:val="3"/>
            <w:hideMark/>
          </w:tcPr>
          <w:p w14:paraId="1BB9E53B" w14:textId="77777777" w:rsidR="0073579C" w:rsidRDefault="0073579C" w:rsidP="00970720">
            <w:pPr>
              <w:pStyle w:val="KUJKnormal"/>
            </w:pPr>
            <w:r>
              <w:t>346/ZK/25</w:t>
            </w:r>
          </w:p>
        </w:tc>
      </w:tr>
      <w:tr w:rsidR="0073579C" w14:paraId="0B59A414" w14:textId="77777777" w:rsidTr="004851D3">
        <w:trPr>
          <w:trHeight w:val="397"/>
        </w:trPr>
        <w:tc>
          <w:tcPr>
            <w:tcW w:w="2376" w:type="dxa"/>
          </w:tcPr>
          <w:p w14:paraId="059847E3" w14:textId="77777777" w:rsidR="0073579C" w:rsidRDefault="0073579C" w:rsidP="00970720"/>
          <w:p w14:paraId="3E0A71DB" w14:textId="77777777" w:rsidR="0073579C" w:rsidRDefault="0073579C" w:rsidP="00970720">
            <w:pPr>
              <w:pStyle w:val="KUJKtucny"/>
            </w:pPr>
            <w:r>
              <w:t>Název bodu:</w:t>
            </w:r>
          </w:p>
        </w:tc>
        <w:tc>
          <w:tcPr>
            <w:tcW w:w="6804" w:type="dxa"/>
            <w:gridSpan w:val="3"/>
          </w:tcPr>
          <w:p w14:paraId="31BEC6B6" w14:textId="77777777" w:rsidR="0073579C" w:rsidRDefault="0073579C" w:rsidP="00970720"/>
          <w:p w14:paraId="7ED9FA06" w14:textId="77777777" w:rsidR="0073579C" w:rsidRDefault="0073579C" w:rsidP="00970720">
            <w:pPr>
              <w:pStyle w:val="KUJKtucny"/>
              <w:rPr>
                <w:sz w:val="22"/>
                <w:szCs w:val="22"/>
              </w:rPr>
            </w:pPr>
            <w:r>
              <w:rPr>
                <w:sz w:val="22"/>
                <w:szCs w:val="22"/>
              </w:rPr>
              <w:t>Dodatek č. 2 ke Smlouvě o spolupráci Jihočeského kraje a Nadace J&amp;T k Transformaci dětských domovů</w:t>
            </w:r>
          </w:p>
        </w:tc>
      </w:tr>
    </w:tbl>
    <w:p w14:paraId="08F85C53" w14:textId="77777777" w:rsidR="0073579C" w:rsidRDefault="0073579C" w:rsidP="004851D3">
      <w:pPr>
        <w:pStyle w:val="KUJKnormal"/>
        <w:rPr>
          <w:b/>
          <w:bCs/>
        </w:rPr>
      </w:pPr>
      <w:r>
        <w:rPr>
          <w:b/>
          <w:bCs/>
        </w:rPr>
        <w:pict w14:anchorId="5955A813">
          <v:rect id="_x0000_i1029" style="width:453.6pt;height:1.5pt" o:hralign="center" o:hrstd="t" o:hrnoshade="t" o:hr="t" fillcolor="black" stroked="f"/>
        </w:pict>
      </w:r>
    </w:p>
    <w:p w14:paraId="3AFA9373" w14:textId="77777777" w:rsidR="0073579C" w:rsidRDefault="0073579C" w:rsidP="004851D3">
      <w:pPr>
        <w:pStyle w:val="KUJKnormal"/>
      </w:pPr>
    </w:p>
    <w:p w14:paraId="39F77E91" w14:textId="77777777" w:rsidR="0073579C" w:rsidRDefault="0073579C" w:rsidP="004851D3"/>
    <w:tbl>
      <w:tblPr>
        <w:tblW w:w="0" w:type="auto"/>
        <w:tblCellMar>
          <w:left w:w="70" w:type="dxa"/>
          <w:right w:w="70" w:type="dxa"/>
        </w:tblCellMar>
        <w:tblLook w:val="04A0" w:firstRow="1" w:lastRow="0" w:firstColumn="1" w:lastColumn="0" w:noHBand="0" w:noVBand="1"/>
      </w:tblPr>
      <w:tblGrid>
        <w:gridCol w:w="2350"/>
        <w:gridCol w:w="6862"/>
      </w:tblGrid>
      <w:tr w:rsidR="0073579C" w14:paraId="659A7D48" w14:textId="77777777" w:rsidTr="002559B8">
        <w:trPr>
          <w:trHeight w:val="397"/>
        </w:trPr>
        <w:tc>
          <w:tcPr>
            <w:tcW w:w="2350" w:type="dxa"/>
            <w:hideMark/>
          </w:tcPr>
          <w:p w14:paraId="66BF47B5" w14:textId="77777777" w:rsidR="0073579C" w:rsidRDefault="0073579C" w:rsidP="002559B8">
            <w:pPr>
              <w:pStyle w:val="KUJKtucny"/>
            </w:pPr>
            <w:r>
              <w:t>Předkladatel:</w:t>
            </w:r>
          </w:p>
        </w:tc>
        <w:tc>
          <w:tcPr>
            <w:tcW w:w="6862" w:type="dxa"/>
          </w:tcPr>
          <w:p w14:paraId="532ECC16" w14:textId="77777777" w:rsidR="0073579C" w:rsidRDefault="0073579C" w:rsidP="002559B8">
            <w:pPr>
              <w:pStyle w:val="KUJKnormal"/>
            </w:pPr>
            <w:r>
              <w:t>Ing. David Štojdl</w:t>
            </w:r>
          </w:p>
          <w:p w14:paraId="45583FF5" w14:textId="77777777" w:rsidR="0073579C" w:rsidRDefault="0073579C" w:rsidP="002559B8"/>
        </w:tc>
      </w:tr>
      <w:tr w:rsidR="0073579C" w14:paraId="2235AA68" w14:textId="77777777" w:rsidTr="002559B8">
        <w:trPr>
          <w:trHeight w:val="397"/>
        </w:trPr>
        <w:tc>
          <w:tcPr>
            <w:tcW w:w="2350" w:type="dxa"/>
          </w:tcPr>
          <w:p w14:paraId="72C526D8" w14:textId="77777777" w:rsidR="0073579C" w:rsidRDefault="0073579C" w:rsidP="002559B8">
            <w:pPr>
              <w:pStyle w:val="KUJKtucny"/>
            </w:pPr>
            <w:r>
              <w:t>Zpracoval:</w:t>
            </w:r>
          </w:p>
          <w:p w14:paraId="107017B2" w14:textId="77777777" w:rsidR="0073579C" w:rsidRDefault="0073579C" w:rsidP="002559B8"/>
        </w:tc>
        <w:tc>
          <w:tcPr>
            <w:tcW w:w="6862" w:type="dxa"/>
            <w:hideMark/>
          </w:tcPr>
          <w:p w14:paraId="3749B871" w14:textId="77777777" w:rsidR="0073579C" w:rsidRDefault="0073579C" w:rsidP="002559B8">
            <w:pPr>
              <w:pStyle w:val="KUJKnormal"/>
            </w:pPr>
            <w:r>
              <w:t>OSMT</w:t>
            </w:r>
          </w:p>
        </w:tc>
      </w:tr>
      <w:tr w:rsidR="0073579C" w14:paraId="5A233CC6" w14:textId="77777777" w:rsidTr="002559B8">
        <w:trPr>
          <w:trHeight w:val="397"/>
        </w:trPr>
        <w:tc>
          <w:tcPr>
            <w:tcW w:w="2350" w:type="dxa"/>
          </w:tcPr>
          <w:p w14:paraId="7FD72C12" w14:textId="77777777" w:rsidR="0073579C" w:rsidRPr="009715F9" w:rsidRDefault="0073579C" w:rsidP="002559B8">
            <w:pPr>
              <w:pStyle w:val="KUJKnormal"/>
              <w:rPr>
                <w:b/>
              </w:rPr>
            </w:pPr>
            <w:r w:rsidRPr="009715F9">
              <w:rPr>
                <w:b/>
              </w:rPr>
              <w:t>Vedoucí odboru:</w:t>
            </w:r>
          </w:p>
          <w:p w14:paraId="7CC2BC00" w14:textId="77777777" w:rsidR="0073579C" w:rsidRDefault="0073579C" w:rsidP="002559B8"/>
        </w:tc>
        <w:tc>
          <w:tcPr>
            <w:tcW w:w="6862" w:type="dxa"/>
            <w:hideMark/>
          </w:tcPr>
          <w:p w14:paraId="55B349CE" w14:textId="77777777" w:rsidR="0073579C" w:rsidRDefault="0073579C" w:rsidP="002559B8">
            <w:pPr>
              <w:pStyle w:val="KUJKnormal"/>
            </w:pPr>
            <w:r>
              <w:t>Ing. Hana Šímová</w:t>
            </w:r>
          </w:p>
        </w:tc>
      </w:tr>
    </w:tbl>
    <w:p w14:paraId="14DF6913" w14:textId="77777777" w:rsidR="0073579C" w:rsidRDefault="0073579C" w:rsidP="004851D3">
      <w:pPr>
        <w:pStyle w:val="KUJKnormal"/>
      </w:pPr>
    </w:p>
    <w:p w14:paraId="59CEBC04" w14:textId="77777777" w:rsidR="0073579C" w:rsidRPr="0052161F" w:rsidRDefault="0073579C" w:rsidP="004851D3">
      <w:pPr>
        <w:pStyle w:val="KUJKtucny"/>
      </w:pPr>
      <w:r w:rsidRPr="0052161F">
        <w:t>NÁVRH USNESENÍ</w:t>
      </w:r>
    </w:p>
    <w:p w14:paraId="6B0FD58B" w14:textId="77777777" w:rsidR="0073579C" w:rsidRDefault="0073579C" w:rsidP="004851D3">
      <w:pPr>
        <w:pStyle w:val="KUJKnormal"/>
        <w:rPr>
          <w:rFonts w:ascii="Calibri" w:hAnsi="Calibri" w:cs="Calibri"/>
          <w:sz w:val="12"/>
          <w:szCs w:val="12"/>
        </w:rPr>
      </w:pPr>
      <w:bookmarkStart w:id="0" w:name="US_ZaVeVeci"/>
      <w:bookmarkEnd w:id="0"/>
    </w:p>
    <w:p w14:paraId="59802B82" w14:textId="77777777" w:rsidR="0073579C" w:rsidRDefault="0073579C" w:rsidP="004851D3">
      <w:pPr>
        <w:pStyle w:val="KUJKPolozka"/>
        <w:spacing w:line="240" w:lineRule="auto"/>
      </w:pPr>
      <w:r w:rsidRPr="00841DFC">
        <w:t>Zastupitelstvo Jihočeského kraje</w:t>
      </w:r>
    </w:p>
    <w:p w14:paraId="2511F75D" w14:textId="77777777" w:rsidR="0073579C" w:rsidRPr="00E10FE7" w:rsidRDefault="0073579C" w:rsidP="00F96DCB">
      <w:pPr>
        <w:pStyle w:val="KUJKdoplnek2"/>
        <w:spacing w:line="240" w:lineRule="auto"/>
      </w:pPr>
      <w:r w:rsidRPr="00AF7BAE">
        <w:t>schvaluje</w:t>
      </w:r>
    </w:p>
    <w:p w14:paraId="3D4B7C28" w14:textId="77777777" w:rsidR="0073579C" w:rsidRDefault="0073579C" w:rsidP="00F96DCB">
      <w:pPr>
        <w:pStyle w:val="KUJKnormal"/>
      </w:pPr>
      <w:r>
        <w:t xml:space="preserve">uzavření Dodatku č. 2 ke smlouvě o spolupráci Jihočeského kraje a Nadace </w:t>
      </w:r>
      <w:r w:rsidRPr="00F96DCB">
        <w:t>J&amp;T</w:t>
      </w:r>
      <w:r>
        <w:t xml:space="preserve"> k Transformaci dětských domovů dle přílohy č. 1 k návrhu č. 346/ZK/25;</w:t>
      </w:r>
    </w:p>
    <w:p w14:paraId="13E6EE6A" w14:textId="77777777" w:rsidR="0073579C" w:rsidRPr="009A517B" w:rsidRDefault="0073579C" w:rsidP="00F96DCB">
      <w:pPr>
        <w:pStyle w:val="KUJKdoplnek2"/>
        <w:spacing w:line="240" w:lineRule="auto"/>
      </w:pPr>
      <w:r w:rsidRPr="0005454E">
        <w:t>pověřuje</w:t>
      </w:r>
    </w:p>
    <w:p w14:paraId="1D5510DB" w14:textId="77777777" w:rsidR="0073579C" w:rsidRDefault="0073579C" w:rsidP="00F96DCB">
      <w:pPr>
        <w:pStyle w:val="KUJKnormal"/>
      </w:pPr>
      <w:r>
        <w:t xml:space="preserve">MUDr. Martina Kubu, hejtmana kraje, k podpisu Dodatku č. 2 ke smlouvě o spolupráci Jihočeského kraje a Nadace </w:t>
      </w:r>
      <w:r w:rsidRPr="00F96DCB">
        <w:t>J&amp;T</w:t>
      </w:r>
      <w:r>
        <w:t xml:space="preserve"> k Transformaci dětských domovů.</w:t>
      </w:r>
    </w:p>
    <w:p w14:paraId="63746BD0" w14:textId="77777777" w:rsidR="0073579C" w:rsidRDefault="0073579C" w:rsidP="00F96DCB">
      <w:pPr>
        <w:pStyle w:val="KUJKnormal"/>
      </w:pPr>
    </w:p>
    <w:p w14:paraId="0458E4A1" w14:textId="77777777" w:rsidR="0073579C" w:rsidRDefault="0073579C" w:rsidP="00F96DCB">
      <w:pPr>
        <w:pStyle w:val="KUJKmezeraDZ"/>
      </w:pPr>
      <w:bookmarkStart w:id="1" w:name="US_DuvodZprava"/>
      <w:bookmarkEnd w:id="1"/>
    </w:p>
    <w:p w14:paraId="6147B4B3" w14:textId="77777777" w:rsidR="0073579C" w:rsidRPr="00592159" w:rsidRDefault="0073579C" w:rsidP="00592159">
      <w:pPr>
        <w:pStyle w:val="KUJKnormal"/>
      </w:pPr>
    </w:p>
    <w:p w14:paraId="16EC2A6B" w14:textId="77777777" w:rsidR="0073579C" w:rsidRDefault="0073579C" w:rsidP="00F96DCB">
      <w:pPr>
        <w:pStyle w:val="KUJKnadpisDZ"/>
      </w:pPr>
      <w:r>
        <w:t>DŮVODOVÁ ZPRÁVA</w:t>
      </w:r>
    </w:p>
    <w:p w14:paraId="7D241A37" w14:textId="77777777" w:rsidR="0073579C" w:rsidRPr="009B7B0B" w:rsidRDefault="0073579C" w:rsidP="00F96DCB">
      <w:pPr>
        <w:pStyle w:val="KUJKmezeraDZ"/>
      </w:pPr>
    </w:p>
    <w:p w14:paraId="6D0EBDE4" w14:textId="77777777" w:rsidR="0073579C" w:rsidRDefault="0073579C" w:rsidP="00690B7F">
      <w:pPr>
        <w:pStyle w:val="Zkladntext2"/>
        <w:spacing w:after="120"/>
        <w:rPr>
          <w:rFonts w:ascii="Neue Haas Grotesk Text Pro" w:hAnsi="Neue Haas Grotesk Text Pro" w:cs="Tahoma"/>
          <w:b/>
          <w:bCs/>
          <w:sz w:val="20"/>
          <w:szCs w:val="20"/>
          <w:u w:val="single"/>
        </w:rPr>
      </w:pPr>
      <w:r>
        <w:rPr>
          <w:rFonts w:ascii="Neue Haas Grotesk Text Pro" w:hAnsi="Neue Haas Grotesk Text Pro" w:cs="Tahoma"/>
          <w:sz w:val="20"/>
          <w:szCs w:val="20"/>
        </w:rPr>
        <w:t xml:space="preserve">Jihočeský kraj se vydal cestou transformace svých zařízení pro výkon ústavní výchovy. Na základě sdílení dobré praxe z jiných krajů oslovil OŠMT Nadaci J&amp;T, která se problematikou transformace péče o ohrožené děti dlouhodobě zabývá. Spolupráce s Nadací J&amp;T byla smluvně podepsána dne 14. 1. 2024 na základě schváleného usnesení ZK. Kontaktní osobou je pro JčK určena </w:t>
      </w:r>
      <w:bookmarkStart w:id="2" w:name="_Hlk174455786"/>
      <w:r>
        <w:rPr>
          <w:rFonts w:ascii="Neue Haas Grotesk Text Pro" w:hAnsi="Neue Haas Grotesk Text Pro" w:cs="Tahoma"/>
          <w:sz w:val="20"/>
          <w:szCs w:val="20"/>
        </w:rPr>
        <w:t>Mgr. Kristýna Jůzová Kotalová</w:t>
      </w:r>
      <w:bookmarkEnd w:id="2"/>
      <w:r>
        <w:rPr>
          <w:rFonts w:ascii="Neue Haas Grotesk Text Pro" w:hAnsi="Neue Haas Grotesk Text Pro" w:cs="Tahoma"/>
          <w:sz w:val="20"/>
          <w:szCs w:val="20"/>
        </w:rPr>
        <w:t>, která spolupracuje s MPSV i MŠMT.</w:t>
      </w:r>
    </w:p>
    <w:p w14:paraId="6997D53A" w14:textId="77777777" w:rsidR="0073579C" w:rsidRDefault="0073579C" w:rsidP="00690B7F">
      <w:pPr>
        <w:pStyle w:val="Normlnweb"/>
        <w:jc w:val="both"/>
        <w:rPr>
          <w:rFonts w:ascii="Neue Haas Grotesk Text Pro" w:hAnsi="Neue Haas Grotesk Text Pro" w:cs="Tahoma"/>
          <w:sz w:val="20"/>
          <w:szCs w:val="20"/>
        </w:rPr>
      </w:pPr>
      <w:r>
        <w:rPr>
          <w:rFonts w:ascii="Neue Haas Grotesk Text Pro" w:hAnsi="Neue Haas Grotesk Text Pro" w:cs="Tahoma"/>
          <w:sz w:val="20"/>
          <w:szCs w:val="20"/>
        </w:rPr>
        <w:t>Dne 22. 1. 2024 byly vyhlášeny ze strany MPSV výzvy č. 113 a č. 114, které se týkaly prioritně transformace DD. Dle plánu se do projektu zapojily 4 dětské domovy – DD Boršov, DD Horní Planá, DD Radenín, DD Písek. Nadace J&amp;T se podílela na přípravě transformačních plánů pro jednotlivá zařízení a přípravě zaměstnanců na stěhování, významnou podporu poskytla i ředitelům jednotlivých dětských domovů.  Do výzev NPO bylo podáno celkem 11 žádostí, které se aktuálně vyhodnocují.</w:t>
      </w:r>
    </w:p>
    <w:p w14:paraId="00DC0697" w14:textId="77777777" w:rsidR="0073579C" w:rsidRDefault="0073579C" w:rsidP="00690B7F">
      <w:pPr>
        <w:spacing w:before="120"/>
        <w:jc w:val="both"/>
        <w:rPr>
          <w:rFonts w:cs="Tahoma"/>
          <w:szCs w:val="20"/>
        </w:rPr>
      </w:pPr>
      <w:r>
        <w:rPr>
          <w:rFonts w:cs="Tahoma"/>
          <w:szCs w:val="20"/>
        </w:rPr>
        <w:t xml:space="preserve">Zástupci nadace </w:t>
      </w:r>
      <w:bookmarkStart w:id="3" w:name="_Hlk213841213"/>
      <w:r>
        <w:rPr>
          <w:rFonts w:cs="Tahoma"/>
          <w:szCs w:val="20"/>
        </w:rPr>
        <w:t>J&amp;T</w:t>
      </w:r>
      <w:bookmarkEnd w:id="3"/>
      <w:r>
        <w:rPr>
          <w:rFonts w:cs="Tahoma"/>
          <w:szCs w:val="20"/>
        </w:rPr>
        <w:t xml:space="preserve"> spolu s pracovníky OŠMT několikrát navštívili jednotlivé DD, tak aby byly zmapovány konkrétní potřeby jednotlivých zařízení a vytvořena optimální podpora transformace, pro každé zařízení. </w:t>
      </w:r>
    </w:p>
    <w:p w14:paraId="13F56D48" w14:textId="77777777" w:rsidR="0073579C" w:rsidRDefault="0073579C" w:rsidP="00690B7F">
      <w:pPr>
        <w:jc w:val="both"/>
        <w:rPr>
          <w:rFonts w:cs="Tahoma"/>
          <w:szCs w:val="20"/>
        </w:rPr>
      </w:pPr>
    </w:p>
    <w:p w14:paraId="496E0CE4" w14:textId="77777777" w:rsidR="0073579C" w:rsidRDefault="0073579C" w:rsidP="00690B7F">
      <w:pPr>
        <w:jc w:val="both"/>
        <w:rPr>
          <w:rFonts w:cs="Tahoma"/>
          <w:szCs w:val="20"/>
        </w:rPr>
      </w:pPr>
      <w:r>
        <w:rPr>
          <w:rFonts w:cs="Tahoma"/>
          <w:szCs w:val="20"/>
        </w:rPr>
        <w:t>Finanční prostředky darované Nadací J&amp;T na jednotlivé činnosti nebyly v tuto chvíli vyčerpány a je proto žádoucí prodloužit dobu spolupráce do dalšího roku. Vzhledem k tomu, že spolupráce mezi Nadací J&amp;T a Jihočeským krajem se dlouhodobě vyvíjí velmi pozitivně, přišla ze strany nadace mimořádná nabídka prodloužit tuto spolupráci o další dva roky. Taková nabídka není v případě ostatních krajů obvyklá, což svědčí o vysoké úrovni vzájemné důvěry a úspěšnosti dosavadní společné činnosti.</w:t>
      </w:r>
    </w:p>
    <w:p w14:paraId="1DF172D7" w14:textId="77777777" w:rsidR="0073579C" w:rsidRDefault="0073579C" w:rsidP="00690B7F">
      <w:pPr>
        <w:spacing w:after="160"/>
        <w:jc w:val="both"/>
        <w:rPr>
          <w:rFonts w:cs="Tahoma"/>
          <w:szCs w:val="20"/>
        </w:rPr>
      </w:pPr>
    </w:p>
    <w:p w14:paraId="52CF6265" w14:textId="77777777" w:rsidR="0073579C" w:rsidRDefault="0073579C" w:rsidP="00690B7F">
      <w:pPr>
        <w:spacing w:after="160"/>
        <w:jc w:val="both"/>
        <w:rPr>
          <w:b/>
          <w:bCs/>
          <w:kern w:val="2"/>
          <w:szCs w:val="20"/>
        </w:rPr>
      </w:pPr>
      <w:r>
        <w:rPr>
          <w:rFonts w:cs="Tahoma"/>
          <w:b/>
          <w:bCs/>
          <w:szCs w:val="20"/>
        </w:rPr>
        <w:t>Vývoj dosavadní s</w:t>
      </w:r>
      <w:r>
        <w:rPr>
          <w:b/>
          <w:bCs/>
          <w:kern w:val="2"/>
          <w:szCs w:val="20"/>
        </w:rPr>
        <w:t>polupráce:</w:t>
      </w:r>
    </w:p>
    <w:p w14:paraId="78FE90AF" w14:textId="77777777" w:rsidR="0073579C" w:rsidRDefault="0073579C" w:rsidP="00690B7F">
      <w:pPr>
        <w:pStyle w:val="Odstavecseseznamem"/>
        <w:numPr>
          <w:ilvl w:val="0"/>
          <w:numId w:val="11"/>
        </w:numPr>
        <w:spacing w:after="160" w:line="256" w:lineRule="auto"/>
        <w:jc w:val="both"/>
        <w:rPr>
          <w:b/>
          <w:i/>
          <w:kern w:val="2"/>
          <w:szCs w:val="20"/>
        </w:rPr>
      </w:pPr>
      <w:r>
        <w:rPr>
          <w:b/>
          <w:i/>
          <w:kern w:val="2"/>
          <w:szCs w:val="20"/>
        </w:rPr>
        <w:t>Podpora JČ kraje v procesu transformace školských zařízení</w:t>
      </w:r>
    </w:p>
    <w:p w14:paraId="59017B2A" w14:textId="77777777" w:rsidR="0073579C" w:rsidRDefault="0073579C" w:rsidP="00690B7F">
      <w:pPr>
        <w:pStyle w:val="Odstavecseseznamem"/>
        <w:spacing w:after="160"/>
        <w:jc w:val="both"/>
        <w:rPr>
          <w:b/>
          <w:i/>
          <w:kern w:val="2"/>
          <w:szCs w:val="20"/>
        </w:rPr>
      </w:pPr>
      <w:r>
        <w:rPr>
          <w:b/>
          <w:i/>
          <w:kern w:val="2"/>
          <w:szCs w:val="20"/>
        </w:rPr>
        <w:t>Trvání: 2024–2026</w:t>
      </w:r>
    </w:p>
    <w:p w14:paraId="28DEE22F" w14:textId="77777777" w:rsidR="0073579C" w:rsidRDefault="0073579C" w:rsidP="00690B7F">
      <w:pPr>
        <w:spacing w:after="160"/>
        <w:ind w:firstLine="709"/>
        <w:jc w:val="both"/>
        <w:rPr>
          <w:b/>
          <w:bCs/>
          <w:i/>
          <w:kern w:val="2"/>
          <w:szCs w:val="20"/>
        </w:rPr>
      </w:pPr>
      <w:r>
        <w:rPr>
          <w:b/>
          <w:i/>
          <w:kern w:val="2"/>
          <w:szCs w:val="20"/>
        </w:rPr>
        <w:t xml:space="preserve">Nadace v součinnosti s krajem </w:t>
      </w:r>
      <w:r>
        <w:rPr>
          <w:i/>
          <w:kern w:val="2"/>
          <w:szCs w:val="20"/>
        </w:rPr>
        <w:t>zajistí/zajistila:</w:t>
      </w:r>
    </w:p>
    <w:p w14:paraId="0997FC72" w14:textId="77777777" w:rsidR="0073579C" w:rsidRDefault="0073579C" w:rsidP="00690B7F">
      <w:pPr>
        <w:numPr>
          <w:ilvl w:val="0"/>
          <w:numId w:val="12"/>
        </w:numPr>
        <w:spacing w:line="256" w:lineRule="auto"/>
        <w:ind w:left="1069"/>
        <w:contextualSpacing/>
        <w:jc w:val="both"/>
        <w:rPr>
          <w:i/>
          <w:kern w:val="2"/>
          <w:szCs w:val="20"/>
        </w:rPr>
      </w:pPr>
      <w:r>
        <w:rPr>
          <w:i/>
          <w:kern w:val="2"/>
          <w:szCs w:val="20"/>
        </w:rPr>
        <w:t xml:space="preserve">podporu v sestavení krajského transformačního týmu k zajištění přípravy a procesu transformace na úrovni kraje, včetně nastavení spolupráce s koordinátorkou Nadace, </w:t>
      </w:r>
    </w:p>
    <w:p w14:paraId="26BC4CF3" w14:textId="77777777" w:rsidR="0073579C" w:rsidRDefault="0073579C" w:rsidP="00690B7F">
      <w:pPr>
        <w:numPr>
          <w:ilvl w:val="0"/>
          <w:numId w:val="12"/>
        </w:numPr>
        <w:spacing w:line="256" w:lineRule="auto"/>
        <w:ind w:left="1069"/>
        <w:contextualSpacing/>
        <w:jc w:val="both"/>
        <w:rPr>
          <w:i/>
          <w:kern w:val="2"/>
          <w:szCs w:val="20"/>
        </w:rPr>
      </w:pPr>
      <w:r>
        <w:rPr>
          <w:i/>
          <w:kern w:val="2"/>
          <w:szCs w:val="20"/>
        </w:rPr>
        <w:t>podpora max. 4 zařízení pro první vlnu transformace, podle specifických kritérií vydiskutovaných v rámci činnosti krajského transformačního týmu a zástupkyně Nadace,</w:t>
      </w:r>
    </w:p>
    <w:p w14:paraId="20E0CE36" w14:textId="77777777" w:rsidR="0073579C" w:rsidRDefault="0073579C" w:rsidP="00690B7F">
      <w:pPr>
        <w:numPr>
          <w:ilvl w:val="0"/>
          <w:numId w:val="12"/>
        </w:numPr>
        <w:spacing w:line="256" w:lineRule="auto"/>
        <w:ind w:left="1069"/>
        <w:contextualSpacing/>
        <w:jc w:val="both"/>
        <w:rPr>
          <w:i/>
          <w:kern w:val="2"/>
          <w:szCs w:val="20"/>
        </w:rPr>
      </w:pPr>
      <w:r>
        <w:rPr>
          <w:i/>
          <w:kern w:val="2"/>
          <w:szCs w:val="20"/>
        </w:rPr>
        <w:t xml:space="preserve">nastavení procesu první vlny transformace a nastavení přenosu transformačního procesu do dalších vln transformace, </w:t>
      </w:r>
    </w:p>
    <w:p w14:paraId="6B53AF7A" w14:textId="77777777" w:rsidR="0073579C" w:rsidRDefault="0073579C" w:rsidP="00690B7F">
      <w:pPr>
        <w:numPr>
          <w:ilvl w:val="0"/>
          <w:numId w:val="12"/>
        </w:numPr>
        <w:spacing w:line="256" w:lineRule="auto"/>
        <w:ind w:left="1069"/>
        <w:contextualSpacing/>
        <w:jc w:val="both"/>
        <w:rPr>
          <w:i/>
          <w:kern w:val="2"/>
          <w:szCs w:val="20"/>
        </w:rPr>
      </w:pPr>
      <w:r>
        <w:rPr>
          <w:i/>
          <w:kern w:val="2"/>
          <w:szCs w:val="20"/>
        </w:rPr>
        <w:t>odbornou podporu pro vytvoření transformačních plánů pro zařízení vybraná do první vlny transformace, včetně načasování jednotlivých kroků transformace, konzultace výběru nejvhodnějšího modelu transformace pro daná zařízení (financování, personální kapacity, využití budov atd.),</w:t>
      </w:r>
    </w:p>
    <w:p w14:paraId="047FCE90" w14:textId="77777777" w:rsidR="0073579C" w:rsidRDefault="0073579C" w:rsidP="00690B7F">
      <w:pPr>
        <w:numPr>
          <w:ilvl w:val="0"/>
          <w:numId w:val="12"/>
        </w:numPr>
        <w:spacing w:line="256" w:lineRule="auto"/>
        <w:ind w:left="1069"/>
        <w:contextualSpacing/>
        <w:jc w:val="both"/>
        <w:rPr>
          <w:i/>
          <w:kern w:val="2"/>
          <w:szCs w:val="20"/>
        </w:rPr>
      </w:pPr>
      <w:r>
        <w:rPr>
          <w:i/>
          <w:kern w:val="2"/>
          <w:szCs w:val="20"/>
        </w:rPr>
        <w:t>podporu samotného procesu transformace, odborné konzultace, vzdělávání a vedení zapojených aktérů, předávání příkladů dobré praxe, zprostředkování exkurze do již ztransformovaných zařízení v ČR, podporu v orientaci v legislativním ukotvení péče o děti v transformovaných zařízeních (související předpisy a vyhlášky),</w:t>
      </w:r>
    </w:p>
    <w:p w14:paraId="36242BE0" w14:textId="77777777" w:rsidR="0073579C" w:rsidRDefault="0073579C" w:rsidP="00690B7F">
      <w:pPr>
        <w:numPr>
          <w:ilvl w:val="0"/>
          <w:numId w:val="12"/>
        </w:numPr>
        <w:spacing w:line="256" w:lineRule="auto"/>
        <w:ind w:left="1069"/>
        <w:contextualSpacing/>
        <w:jc w:val="both"/>
        <w:rPr>
          <w:i/>
          <w:kern w:val="2"/>
          <w:szCs w:val="20"/>
        </w:rPr>
      </w:pPr>
      <w:r>
        <w:rPr>
          <w:i/>
          <w:kern w:val="2"/>
          <w:szCs w:val="20"/>
        </w:rPr>
        <w:t xml:space="preserve">podpora v přehodnocení situace dětí umístěných v dětských domovech s cílem nalezení alternativních možností zajištění bezpečné péče o děti. </w:t>
      </w:r>
    </w:p>
    <w:p w14:paraId="24B407BE" w14:textId="77777777" w:rsidR="0073579C" w:rsidRDefault="0073579C" w:rsidP="00690B7F">
      <w:pPr>
        <w:jc w:val="both"/>
        <w:rPr>
          <w:iCs/>
          <w:kern w:val="2"/>
          <w:szCs w:val="20"/>
        </w:rPr>
      </w:pPr>
    </w:p>
    <w:p w14:paraId="2999D5EC" w14:textId="77777777" w:rsidR="0073579C" w:rsidRDefault="0073579C" w:rsidP="00690B7F">
      <w:pPr>
        <w:jc w:val="both"/>
        <w:rPr>
          <w:iCs/>
          <w:kern w:val="2"/>
          <w:szCs w:val="20"/>
        </w:rPr>
      </w:pPr>
      <w:r>
        <w:rPr>
          <w:iCs/>
          <w:kern w:val="2"/>
          <w:szCs w:val="20"/>
        </w:rPr>
        <w:t xml:space="preserve">Do současné chvíle byly realizovány všechny plánované body spolupráce s kladným ohlasem. Zařízení budou i nadále podporována obdobným způsobem i v případě dalších postupně se stěhujících rodinných skupin. </w:t>
      </w:r>
    </w:p>
    <w:p w14:paraId="0DB086AB" w14:textId="77777777" w:rsidR="0073579C" w:rsidRDefault="0073579C" w:rsidP="00690B7F">
      <w:pPr>
        <w:jc w:val="both"/>
        <w:rPr>
          <w:i/>
          <w:kern w:val="2"/>
          <w:szCs w:val="20"/>
        </w:rPr>
      </w:pPr>
    </w:p>
    <w:p w14:paraId="482B0FFC" w14:textId="77777777" w:rsidR="0073579C" w:rsidRDefault="0073579C" w:rsidP="00690B7F">
      <w:pPr>
        <w:numPr>
          <w:ilvl w:val="0"/>
          <w:numId w:val="13"/>
        </w:numPr>
        <w:spacing w:line="256" w:lineRule="auto"/>
        <w:jc w:val="both"/>
        <w:rPr>
          <w:b/>
          <w:bCs/>
          <w:i/>
          <w:kern w:val="2"/>
          <w:szCs w:val="20"/>
        </w:rPr>
      </w:pPr>
      <w:r>
        <w:rPr>
          <w:b/>
          <w:bCs/>
          <w:i/>
          <w:kern w:val="2"/>
          <w:szCs w:val="20"/>
        </w:rPr>
        <w:t>Analýza systému péče o ohrožené děti se zaměřením na potřeby dětí umístěných v zařízeních ústavní výchovy a na kapacity a možnosti transformace zařízení pro výkon ústavní výchovy v JČ kraji</w:t>
      </w:r>
    </w:p>
    <w:p w14:paraId="3711036D" w14:textId="77777777" w:rsidR="0073579C" w:rsidRDefault="0073579C" w:rsidP="00690B7F">
      <w:pPr>
        <w:ind w:left="720"/>
        <w:contextualSpacing/>
        <w:jc w:val="both"/>
        <w:rPr>
          <w:b/>
          <w:bCs/>
          <w:i/>
          <w:kern w:val="2"/>
          <w:szCs w:val="20"/>
        </w:rPr>
      </w:pPr>
      <w:r>
        <w:rPr>
          <w:b/>
          <w:bCs/>
          <w:i/>
          <w:kern w:val="2"/>
          <w:szCs w:val="20"/>
        </w:rPr>
        <w:t>Trvání: 2024–2025</w:t>
      </w:r>
    </w:p>
    <w:p w14:paraId="22BD2E03" w14:textId="77777777" w:rsidR="0073579C" w:rsidRDefault="0073579C" w:rsidP="00690B7F">
      <w:pPr>
        <w:ind w:left="720"/>
        <w:contextualSpacing/>
        <w:jc w:val="both"/>
        <w:rPr>
          <w:b/>
          <w:bCs/>
          <w:i/>
          <w:kern w:val="2"/>
          <w:szCs w:val="20"/>
        </w:rPr>
      </w:pPr>
    </w:p>
    <w:p w14:paraId="4E9AF285" w14:textId="77777777" w:rsidR="0073579C" w:rsidRDefault="0073579C" w:rsidP="00690B7F">
      <w:pPr>
        <w:spacing w:after="160"/>
        <w:ind w:firstLine="708"/>
        <w:jc w:val="both"/>
        <w:rPr>
          <w:i/>
          <w:kern w:val="2"/>
          <w:szCs w:val="20"/>
        </w:rPr>
      </w:pPr>
      <w:r>
        <w:rPr>
          <w:b/>
          <w:i/>
          <w:kern w:val="2"/>
          <w:szCs w:val="20"/>
        </w:rPr>
        <w:t>Nadace</w:t>
      </w:r>
      <w:r>
        <w:rPr>
          <w:i/>
          <w:kern w:val="2"/>
          <w:szCs w:val="20"/>
        </w:rPr>
        <w:t xml:space="preserve"> zpracuje pro JČ kraj analýzu, která se zaměří zejména na:</w:t>
      </w:r>
    </w:p>
    <w:p w14:paraId="2956B275" w14:textId="77777777" w:rsidR="0073579C" w:rsidRDefault="0073579C" w:rsidP="00690B7F">
      <w:pPr>
        <w:numPr>
          <w:ilvl w:val="0"/>
          <w:numId w:val="14"/>
        </w:numPr>
        <w:spacing w:line="256" w:lineRule="auto"/>
        <w:contextualSpacing/>
        <w:jc w:val="both"/>
        <w:rPr>
          <w:i/>
          <w:kern w:val="2"/>
          <w:szCs w:val="20"/>
        </w:rPr>
      </w:pPr>
      <w:r>
        <w:rPr>
          <w:i/>
          <w:kern w:val="2"/>
          <w:szCs w:val="20"/>
        </w:rPr>
        <w:t xml:space="preserve">krajskou síť sociálních a navazujících služeb pro ohrožené děti včetně školských zařízení (DD, SVP, DDŠ) a spolupráci subjektů v rámci sítě, </w:t>
      </w:r>
    </w:p>
    <w:p w14:paraId="7E08F9AF" w14:textId="77777777" w:rsidR="0073579C" w:rsidRDefault="0073579C" w:rsidP="00690B7F">
      <w:pPr>
        <w:numPr>
          <w:ilvl w:val="0"/>
          <w:numId w:val="14"/>
        </w:numPr>
        <w:spacing w:line="256" w:lineRule="auto"/>
        <w:contextualSpacing/>
        <w:jc w:val="both"/>
        <w:rPr>
          <w:i/>
          <w:kern w:val="2"/>
          <w:szCs w:val="20"/>
        </w:rPr>
      </w:pPr>
      <w:r>
        <w:rPr>
          <w:i/>
          <w:kern w:val="2"/>
          <w:szCs w:val="20"/>
        </w:rPr>
        <w:t xml:space="preserve">potřeby dětí umístěných ve školských zařízeních pro výkon ústavní výchovy zřizovaných JČK, a to v součinnosti s příslušnými OSPOD a zařízeními ústavní výchovy, </w:t>
      </w:r>
    </w:p>
    <w:p w14:paraId="395F9DD8" w14:textId="77777777" w:rsidR="0073579C" w:rsidRDefault="0073579C" w:rsidP="00690B7F">
      <w:pPr>
        <w:numPr>
          <w:ilvl w:val="0"/>
          <w:numId w:val="14"/>
        </w:numPr>
        <w:spacing w:line="256" w:lineRule="auto"/>
        <w:contextualSpacing/>
        <w:jc w:val="both"/>
        <w:rPr>
          <w:i/>
          <w:kern w:val="2"/>
          <w:szCs w:val="20"/>
        </w:rPr>
      </w:pPr>
      <w:r>
        <w:rPr>
          <w:i/>
          <w:kern w:val="2"/>
          <w:szCs w:val="20"/>
        </w:rPr>
        <w:t xml:space="preserve">situaci v jednotlivých zařízeních ústavní výchovy se zaměřením na možnosti transformace směrem k individuální péči o děti v prostředí rodinného charakteru. </w:t>
      </w:r>
    </w:p>
    <w:p w14:paraId="24373745" w14:textId="77777777" w:rsidR="0073579C" w:rsidRDefault="0073579C" w:rsidP="00690B7F">
      <w:pPr>
        <w:spacing w:after="160"/>
        <w:ind w:left="708"/>
        <w:jc w:val="both"/>
        <w:rPr>
          <w:i/>
          <w:kern w:val="2"/>
          <w:szCs w:val="20"/>
        </w:rPr>
      </w:pPr>
      <w:r>
        <w:rPr>
          <w:b/>
          <w:i/>
          <w:kern w:val="2"/>
          <w:szCs w:val="20"/>
        </w:rPr>
        <w:t xml:space="preserve">Kraj </w:t>
      </w:r>
      <w:r>
        <w:rPr>
          <w:i/>
          <w:kern w:val="2"/>
          <w:szCs w:val="20"/>
        </w:rPr>
        <w:t>zajistí podporu odborného týmu Nadace při sběru dat a komunikaci s respondenty (ústavní zařízení, OSPOD, poskytovatelé služeb, aj.) a bude se podílet na společném vyhodnocení analýzy a navržení postupu implementace jednotlivých doporučení obsažených v analýze.</w:t>
      </w:r>
    </w:p>
    <w:p w14:paraId="755016B3" w14:textId="77777777" w:rsidR="0073579C" w:rsidRDefault="0073579C" w:rsidP="00690B7F">
      <w:pPr>
        <w:spacing w:after="160"/>
        <w:jc w:val="both"/>
        <w:rPr>
          <w:bCs/>
          <w:iCs/>
          <w:kern w:val="2"/>
          <w:szCs w:val="20"/>
        </w:rPr>
      </w:pPr>
      <w:r>
        <w:rPr>
          <w:bCs/>
          <w:iCs/>
          <w:kern w:val="2"/>
          <w:szCs w:val="20"/>
        </w:rPr>
        <w:t xml:space="preserve">Analýza je v konečné fázi připomínkového řízení. </w:t>
      </w:r>
    </w:p>
    <w:p w14:paraId="1C83B98E" w14:textId="77777777" w:rsidR="0073579C" w:rsidRDefault="0073579C" w:rsidP="00690B7F">
      <w:pPr>
        <w:pStyle w:val="KUJKnormal"/>
      </w:pPr>
    </w:p>
    <w:p w14:paraId="04723F0D" w14:textId="77777777" w:rsidR="0073579C" w:rsidRDefault="0073579C" w:rsidP="00690B7F">
      <w:pPr>
        <w:numPr>
          <w:ilvl w:val="0"/>
          <w:numId w:val="13"/>
        </w:numPr>
        <w:spacing w:line="256" w:lineRule="auto"/>
        <w:contextualSpacing/>
        <w:jc w:val="both"/>
        <w:rPr>
          <w:b/>
          <w:bCs/>
          <w:i/>
          <w:kern w:val="2"/>
          <w:szCs w:val="20"/>
        </w:rPr>
      </w:pPr>
      <w:r>
        <w:rPr>
          <w:b/>
          <w:bCs/>
          <w:i/>
          <w:kern w:val="2"/>
          <w:szCs w:val="20"/>
        </w:rPr>
        <w:t>Strategie péče o ohrožené děti a rodiny v Jihočeském kraji (dále jen „Strategie“)</w:t>
      </w:r>
    </w:p>
    <w:p w14:paraId="2DE98D9F" w14:textId="77777777" w:rsidR="0073579C" w:rsidRDefault="0073579C" w:rsidP="00690B7F">
      <w:pPr>
        <w:ind w:left="720"/>
        <w:contextualSpacing/>
        <w:jc w:val="both"/>
        <w:rPr>
          <w:b/>
          <w:bCs/>
          <w:i/>
          <w:kern w:val="2"/>
          <w:szCs w:val="20"/>
        </w:rPr>
      </w:pPr>
      <w:r>
        <w:rPr>
          <w:b/>
          <w:i/>
          <w:kern w:val="2"/>
          <w:szCs w:val="20"/>
        </w:rPr>
        <w:t>Trvání: 2024–2025</w:t>
      </w:r>
    </w:p>
    <w:p w14:paraId="73EAD391" w14:textId="77777777" w:rsidR="0073579C" w:rsidRDefault="0073579C" w:rsidP="00690B7F">
      <w:pPr>
        <w:pStyle w:val="Odstavecseseznamem"/>
        <w:spacing w:after="160"/>
        <w:jc w:val="both"/>
        <w:rPr>
          <w:i/>
          <w:kern w:val="2"/>
          <w:szCs w:val="20"/>
        </w:rPr>
      </w:pPr>
      <w:r>
        <w:rPr>
          <w:i/>
          <w:kern w:val="2"/>
          <w:szCs w:val="20"/>
        </w:rPr>
        <w:t>Nadace zpracuje pro JČK Strategii zaměřenou na:</w:t>
      </w:r>
    </w:p>
    <w:p w14:paraId="12C35478" w14:textId="77777777" w:rsidR="0073579C" w:rsidRDefault="0073579C" w:rsidP="00690B7F">
      <w:pPr>
        <w:pStyle w:val="Odstavecseseznamem"/>
        <w:numPr>
          <w:ilvl w:val="0"/>
          <w:numId w:val="15"/>
        </w:numPr>
        <w:spacing w:after="160" w:line="256" w:lineRule="auto"/>
        <w:jc w:val="both"/>
        <w:rPr>
          <w:i/>
          <w:kern w:val="2"/>
          <w:szCs w:val="20"/>
        </w:rPr>
      </w:pPr>
      <w:r>
        <w:rPr>
          <w:i/>
          <w:kern w:val="2"/>
          <w:szCs w:val="20"/>
        </w:rPr>
        <w:t xml:space="preserve">posílení sítě podpůrných služeb pro ohrožené děti a rodiny, </w:t>
      </w:r>
    </w:p>
    <w:p w14:paraId="6A8C3D8F" w14:textId="77777777" w:rsidR="0073579C" w:rsidRDefault="0073579C" w:rsidP="00690B7F">
      <w:pPr>
        <w:pStyle w:val="Odstavecseseznamem"/>
        <w:numPr>
          <w:ilvl w:val="0"/>
          <w:numId w:val="16"/>
        </w:numPr>
        <w:spacing w:after="160" w:line="256" w:lineRule="auto"/>
        <w:jc w:val="both"/>
        <w:rPr>
          <w:i/>
          <w:kern w:val="2"/>
          <w:szCs w:val="20"/>
        </w:rPr>
      </w:pPr>
      <w:r>
        <w:rPr>
          <w:i/>
          <w:kern w:val="2"/>
          <w:szCs w:val="20"/>
        </w:rPr>
        <w:t>rozvoj práce s dětmi umístěnými v ústavní péči s cílem zajištění péče o děti v rodinném prostředí nebo v komunitním typu péče,</w:t>
      </w:r>
    </w:p>
    <w:p w14:paraId="2122791C" w14:textId="77777777" w:rsidR="0073579C" w:rsidRDefault="0073579C" w:rsidP="00690B7F">
      <w:pPr>
        <w:pStyle w:val="Odstavecseseznamem"/>
        <w:numPr>
          <w:ilvl w:val="0"/>
          <w:numId w:val="16"/>
        </w:numPr>
        <w:spacing w:after="160" w:line="256" w:lineRule="auto"/>
        <w:jc w:val="both"/>
        <w:rPr>
          <w:i/>
          <w:kern w:val="2"/>
          <w:szCs w:val="20"/>
        </w:rPr>
      </w:pPr>
      <w:r>
        <w:rPr>
          <w:i/>
          <w:kern w:val="2"/>
          <w:szCs w:val="20"/>
        </w:rPr>
        <w:t>pokračování transformace dětských domovů zřizovaných JČK.</w:t>
      </w:r>
    </w:p>
    <w:p w14:paraId="428CD8B3" w14:textId="77777777" w:rsidR="0073579C" w:rsidRDefault="0073579C" w:rsidP="00690B7F">
      <w:pPr>
        <w:spacing w:after="160"/>
        <w:jc w:val="both"/>
        <w:rPr>
          <w:kern w:val="2"/>
          <w:szCs w:val="20"/>
        </w:rPr>
      </w:pPr>
      <w:r>
        <w:rPr>
          <w:iCs/>
          <w:kern w:val="2"/>
          <w:szCs w:val="20"/>
        </w:rPr>
        <w:t>Strategie je v konečné fázi připomínkového řízení.</w:t>
      </w:r>
    </w:p>
    <w:p w14:paraId="30622757" w14:textId="77777777" w:rsidR="0073579C" w:rsidRDefault="0073579C" w:rsidP="00690B7F">
      <w:pPr>
        <w:spacing w:after="160"/>
        <w:jc w:val="both"/>
        <w:rPr>
          <w:b/>
          <w:bCs/>
          <w:iCs/>
          <w:kern w:val="2"/>
          <w:szCs w:val="20"/>
        </w:rPr>
      </w:pPr>
      <w:r>
        <w:rPr>
          <w:b/>
          <w:bCs/>
          <w:iCs/>
          <w:kern w:val="2"/>
          <w:szCs w:val="20"/>
        </w:rPr>
        <w:t>Nově plánovaná spolupráce:</w:t>
      </w:r>
    </w:p>
    <w:p w14:paraId="408C060E" w14:textId="77777777" w:rsidR="0073579C" w:rsidRDefault="0073579C" w:rsidP="00690B7F">
      <w:pPr>
        <w:pStyle w:val="Odstavecseseznamem"/>
        <w:numPr>
          <w:ilvl w:val="0"/>
          <w:numId w:val="13"/>
        </w:numPr>
        <w:spacing w:after="160" w:line="256" w:lineRule="auto"/>
        <w:jc w:val="both"/>
        <w:rPr>
          <w:b/>
          <w:i/>
          <w:kern w:val="2"/>
          <w:szCs w:val="20"/>
        </w:rPr>
      </w:pPr>
      <w:r>
        <w:rPr>
          <w:b/>
          <w:i/>
          <w:kern w:val="2"/>
          <w:szCs w:val="20"/>
        </w:rPr>
        <w:t>Implementace Strategie péče o ohrožené děti a rodiny v Jihočeském kraji (dále jen „Strategie“)</w:t>
      </w:r>
    </w:p>
    <w:p w14:paraId="56D10B92" w14:textId="77777777" w:rsidR="0073579C" w:rsidRDefault="0073579C" w:rsidP="00690B7F">
      <w:pPr>
        <w:pStyle w:val="Odstavecseseznamem"/>
        <w:spacing w:after="160"/>
        <w:jc w:val="both"/>
        <w:rPr>
          <w:b/>
          <w:i/>
          <w:kern w:val="2"/>
          <w:szCs w:val="20"/>
        </w:rPr>
      </w:pPr>
      <w:r>
        <w:rPr>
          <w:b/>
          <w:i/>
          <w:kern w:val="2"/>
          <w:szCs w:val="20"/>
        </w:rPr>
        <w:t>Trvání 2026–2027</w:t>
      </w:r>
    </w:p>
    <w:p w14:paraId="2CB5BAA1" w14:textId="77777777" w:rsidR="0073579C" w:rsidRDefault="0073579C" w:rsidP="00690B7F">
      <w:pPr>
        <w:pStyle w:val="Odstavecseseznamem"/>
        <w:spacing w:after="160"/>
        <w:jc w:val="both"/>
        <w:rPr>
          <w:i/>
          <w:kern w:val="2"/>
          <w:szCs w:val="20"/>
        </w:rPr>
      </w:pPr>
      <w:r>
        <w:rPr>
          <w:i/>
          <w:kern w:val="2"/>
          <w:szCs w:val="20"/>
        </w:rPr>
        <w:t>Nadace podpoří Jihočeský kraj v implementaci Strategie péče o ohrožené děti a rodiny, a to konkrétně v následujících bodech:</w:t>
      </w:r>
    </w:p>
    <w:p w14:paraId="52C57D1E" w14:textId="77777777" w:rsidR="0073579C" w:rsidRDefault="0073579C" w:rsidP="00690B7F">
      <w:pPr>
        <w:pStyle w:val="Odstavecseseznamem"/>
        <w:numPr>
          <w:ilvl w:val="0"/>
          <w:numId w:val="16"/>
        </w:numPr>
        <w:spacing w:after="160" w:line="256" w:lineRule="auto"/>
        <w:jc w:val="both"/>
        <w:rPr>
          <w:i/>
          <w:kern w:val="2"/>
          <w:szCs w:val="20"/>
        </w:rPr>
      </w:pPr>
      <w:r>
        <w:rPr>
          <w:i/>
          <w:kern w:val="2"/>
          <w:szCs w:val="20"/>
        </w:rPr>
        <w:t>podpora v nastavení spolupráce mezi OSPOD a sociálními pracovníky DD/DgÚ s cílem včasného řešení situace rodiny, z níž bylo odebráno dítě, s cílem návratu dítěte do bezpečného prostředí,</w:t>
      </w:r>
    </w:p>
    <w:p w14:paraId="7D5DBE70" w14:textId="77777777" w:rsidR="0073579C" w:rsidRDefault="0073579C" w:rsidP="00690B7F">
      <w:pPr>
        <w:pStyle w:val="Odstavecseseznamem"/>
        <w:numPr>
          <w:ilvl w:val="0"/>
          <w:numId w:val="16"/>
        </w:numPr>
        <w:spacing w:after="160" w:line="256" w:lineRule="auto"/>
        <w:jc w:val="both"/>
        <w:rPr>
          <w:i/>
          <w:kern w:val="2"/>
          <w:szCs w:val="20"/>
        </w:rPr>
      </w:pPr>
      <w:r>
        <w:rPr>
          <w:i/>
          <w:kern w:val="2"/>
          <w:szCs w:val="20"/>
        </w:rPr>
        <w:t>podpora v nastavení alternativní podpory pro mladistvé opouštějící rodinné prostředí nebo náhradní péči včetně doporučení pro další kraje.</w:t>
      </w:r>
    </w:p>
    <w:p w14:paraId="105FC707" w14:textId="77777777" w:rsidR="0073579C" w:rsidRDefault="0073579C" w:rsidP="00690B7F">
      <w:pPr>
        <w:spacing w:line="240" w:lineRule="auto"/>
        <w:jc w:val="both"/>
        <w:rPr>
          <w:rFonts w:cs="Calibri"/>
          <w:b/>
          <w:bCs/>
          <w:szCs w:val="20"/>
        </w:rPr>
      </w:pPr>
      <w:r>
        <w:rPr>
          <w:rFonts w:cs="Calibri"/>
          <w:b/>
          <w:bCs/>
          <w:szCs w:val="20"/>
        </w:rPr>
        <w:t>Rozpočet: Období od 1. 1. 2024 do 31. 12. 2027</w:t>
      </w:r>
    </w:p>
    <w:tbl>
      <w:tblPr>
        <w:tblpPr w:leftFromText="141" w:rightFromText="141" w:vertAnchor="text" w:horzAnchor="page" w:tblpX="541" w:tblpY="335"/>
        <w:tblW w:w="10985" w:type="dxa"/>
        <w:tblCellMar>
          <w:left w:w="70" w:type="dxa"/>
          <w:right w:w="70" w:type="dxa"/>
        </w:tblCellMar>
        <w:tblLook w:val="04A0" w:firstRow="1" w:lastRow="0" w:firstColumn="1" w:lastColumn="0" w:noHBand="0" w:noVBand="1"/>
      </w:tblPr>
      <w:tblGrid>
        <w:gridCol w:w="3814"/>
        <w:gridCol w:w="1218"/>
        <w:gridCol w:w="5953"/>
      </w:tblGrid>
      <w:tr w:rsidR="0073579C" w14:paraId="07EA3D81" w14:textId="77777777">
        <w:trPr>
          <w:trHeight w:val="290"/>
          <w:tblHeader/>
        </w:trPr>
        <w:tc>
          <w:tcPr>
            <w:tcW w:w="3814" w:type="dxa"/>
            <w:tcBorders>
              <w:top w:val="single" w:sz="4" w:space="0" w:color="auto"/>
              <w:left w:val="single" w:sz="4" w:space="0" w:color="auto"/>
              <w:bottom w:val="single" w:sz="4" w:space="0" w:color="auto"/>
              <w:right w:val="single" w:sz="4" w:space="0" w:color="auto"/>
            </w:tcBorders>
            <w:vAlign w:val="center"/>
            <w:hideMark/>
          </w:tcPr>
          <w:p w14:paraId="4563003B" w14:textId="77777777" w:rsidR="0073579C" w:rsidRDefault="0073579C">
            <w:pPr>
              <w:jc w:val="both"/>
              <w:rPr>
                <w:rFonts w:cs="Calibri"/>
                <w:b/>
                <w:color w:val="000000"/>
                <w:szCs w:val="20"/>
              </w:rPr>
            </w:pPr>
            <w:r>
              <w:rPr>
                <w:rFonts w:cs="Calibri"/>
                <w:b/>
                <w:bCs/>
                <w:color w:val="000000"/>
                <w:szCs w:val="20"/>
              </w:rPr>
              <w:t>ČINNOSTI</w:t>
            </w:r>
          </w:p>
        </w:tc>
        <w:tc>
          <w:tcPr>
            <w:tcW w:w="1218" w:type="dxa"/>
            <w:tcBorders>
              <w:top w:val="single" w:sz="4" w:space="0" w:color="auto"/>
              <w:left w:val="nil"/>
              <w:bottom w:val="single" w:sz="4" w:space="0" w:color="auto"/>
              <w:right w:val="single" w:sz="4" w:space="0" w:color="auto"/>
            </w:tcBorders>
            <w:noWrap/>
            <w:vAlign w:val="center"/>
            <w:hideMark/>
          </w:tcPr>
          <w:p w14:paraId="020CA31E" w14:textId="77777777" w:rsidR="0073579C" w:rsidRDefault="0073579C">
            <w:pPr>
              <w:jc w:val="both"/>
              <w:rPr>
                <w:rFonts w:cs="Calibri"/>
                <w:b/>
                <w:bCs/>
                <w:color w:val="000000"/>
                <w:szCs w:val="20"/>
              </w:rPr>
            </w:pPr>
            <w:r>
              <w:rPr>
                <w:rFonts w:cs="Calibri"/>
                <w:b/>
                <w:bCs/>
                <w:color w:val="000000"/>
                <w:szCs w:val="20"/>
              </w:rPr>
              <w:t>NÁKLADY</w:t>
            </w:r>
          </w:p>
        </w:tc>
        <w:tc>
          <w:tcPr>
            <w:tcW w:w="5953" w:type="dxa"/>
            <w:tcBorders>
              <w:top w:val="single" w:sz="4" w:space="0" w:color="auto"/>
              <w:left w:val="nil"/>
              <w:bottom w:val="single" w:sz="4" w:space="0" w:color="auto"/>
              <w:right w:val="single" w:sz="4" w:space="0" w:color="auto"/>
            </w:tcBorders>
            <w:noWrap/>
            <w:vAlign w:val="center"/>
            <w:hideMark/>
          </w:tcPr>
          <w:p w14:paraId="39DA548B" w14:textId="77777777" w:rsidR="0073579C" w:rsidRDefault="0073579C">
            <w:pPr>
              <w:jc w:val="both"/>
              <w:rPr>
                <w:rFonts w:cs="Calibri"/>
                <w:b/>
                <w:bCs/>
                <w:color w:val="000000"/>
                <w:szCs w:val="20"/>
              </w:rPr>
            </w:pPr>
            <w:r>
              <w:rPr>
                <w:rFonts w:cs="Calibri"/>
                <w:b/>
                <w:bCs/>
                <w:color w:val="000000"/>
                <w:szCs w:val="20"/>
              </w:rPr>
              <w:t>POZNÁMKY</w:t>
            </w:r>
          </w:p>
        </w:tc>
      </w:tr>
      <w:tr w:rsidR="0073579C" w14:paraId="26A98924" w14:textId="77777777">
        <w:trPr>
          <w:trHeight w:val="681"/>
        </w:trPr>
        <w:tc>
          <w:tcPr>
            <w:tcW w:w="3814" w:type="dxa"/>
            <w:tcBorders>
              <w:top w:val="nil"/>
              <w:left w:val="single" w:sz="4" w:space="0" w:color="auto"/>
              <w:bottom w:val="single" w:sz="4" w:space="0" w:color="auto"/>
              <w:right w:val="single" w:sz="4" w:space="0" w:color="auto"/>
            </w:tcBorders>
            <w:vAlign w:val="center"/>
            <w:hideMark/>
          </w:tcPr>
          <w:p w14:paraId="404642A6" w14:textId="77777777" w:rsidR="0073579C" w:rsidRDefault="0073579C">
            <w:pPr>
              <w:jc w:val="both"/>
              <w:rPr>
                <w:rFonts w:cs="Calibri"/>
                <w:color w:val="000000"/>
                <w:szCs w:val="20"/>
              </w:rPr>
            </w:pPr>
            <w:r>
              <w:rPr>
                <w:rFonts w:cs="Calibri"/>
                <w:color w:val="000000"/>
                <w:szCs w:val="20"/>
              </w:rPr>
              <w:t>Analýza systému péče o ohrožené děti v Jihočeském kraji</w:t>
            </w:r>
          </w:p>
        </w:tc>
        <w:tc>
          <w:tcPr>
            <w:tcW w:w="1218" w:type="dxa"/>
            <w:tcBorders>
              <w:top w:val="nil"/>
              <w:left w:val="nil"/>
              <w:bottom w:val="single" w:sz="4" w:space="0" w:color="auto"/>
              <w:right w:val="single" w:sz="4" w:space="0" w:color="auto"/>
            </w:tcBorders>
            <w:noWrap/>
            <w:vAlign w:val="center"/>
            <w:hideMark/>
          </w:tcPr>
          <w:p w14:paraId="6277AA67" w14:textId="77777777" w:rsidR="0073579C" w:rsidRDefault="0073579C">
            <w:pPr>
              <w:rPr>
                <w:rFonts w:cs="Calibri"/>
                <w:color w:val="000000"/>
                <w:szCs w:val="20"/>
              </w:rPr>
            </w:pPr>
            <w:r>
              <w:rPr>
                <w:rFonts w:cs="Calibri"/>
                <w:color w:val="000000"/>
                <w:szCs w:val="20"/>
              </w:rPr>
              <w:t>156 500</w:t>
            </w:r>
          </w:p>
        </w:tc>
        <w:tc>
          <w:tcPr>
            <w:tcW w:w="5953" w:type="dxa"/>
            <w:tcBorders>
              <w:top w:val="nil"/>
              <w:left w:val="nil"/>
              <w:bottom w:val="single" w:sz="4" w:space="0" w:color="auto"/>
              <w:right w:val="single" w:sz="4" w:space="0" w:color="auto"/>
            </w:tcBorders>
            <w:vAlign w:val="center"/>
            <w:hideMark/>
          </w:tcPr>
          <w:p w14:paraId="23D111ED" w14:textId="77777777" w:rsidR="0073579C" w:rsidRDefault="0073579C">
            <w:pPr>
              <w:jc w:val="both"/>
              <w:rPr>
                <w:rFonts w:cs="Calibri"/>
                <w:color w:val="000000"/>
                <w:szCs w:val="20"/>
              </w:rPr>
            </w:pPr>
            <w:r>
              <w:rPr>
                <w:rFonts w:cs="Calibri"/>
                <w:color w:val="000000"/>
                <w:szCs w:val="20"/>
              </w:rPr>
              <w:t>zpracování analýzy – statistická data, rozhovory s poskytovateli služeb, OSPODy, analýza pobytových zařízení pro děti, realizace 2 fokusních skupin (bod 2 spolupráce)</w:t>
            </w:r>
          </w:p>
        </w:tc>
      </w:tr>
      <w:tr w:rsidR="0073579C" w14:paraId="1E911BC8" w14:textId="77777777">
        <w:trPr>
          <w:trHeight w:val="590"/>
        </w:trPr>
        <w:tc>
          <w:tcPr>
            <w:tcW w:w="3814" w:type="dxa"/>
            <w:tcBorders>
              <w:top w:val="nil"/>
              <w:left w:val="single" w:sz="4" w:space="0" w:color="auto"/>
              <w:bottom w:val="single" w:sz="4" w:space="0" w:color="auto"/>
              <w:right w:val="single" w:sz="4" w:space="0" w:color="auto"/>
            </w:tcBorders>
            <w:vAlign w:val="center"/>
            <w:hideMark/>
          </w:tcPr>
          <w:p w14:paraId="50FEEDF6" w14:textId="77777777" w:rsidR="0073579C" w:rsidRDefault="0073579C">
            <w:pPr>
              <w:jc w:val="both"/>
              <w:rPr>
                <w:rFonts w:cs="Calibri"/>
                <w:color w:val="000000"/>
                <w:szCs w:val="20"/>
              </w:rPr>
            </w:pPr>
            <w:r>
              <w:rPr>
                <w:rFonts w:cs="Calibri"/>
                <w:color w:val="000000"/>
                <w:szCs w:val="20"/>
              </w:rPr>
              <w:t>Podpora transformačních aktivit včetně vzdělávání pracovníků, participace dětí aj.</w:t>
            </w:r>
          </w:p>
        </w:tc>
        <w:tc>
          <w:tcPr>
            <w:tcW w:w="1218" w:type="dxa"/>
            <w:tcBorders>
              <w:top w:val="nil"/>
              <w:left w:val="nil"/>
              <w:bottom w:val="single" w:sz="4" w:space="0" w:color="auto"/>
              <w:right w:val="single" w:sz="4" w:space="0" w:color="auto"/>
            </w:tcBorders>
            <w:noWrap/>
            <w:vAlign w:val="center"/>
            <w:hideMark/>
          </w:tcPr>
          <w:p w14:paraId="5EFBE5EF" w14:textId="77777777" w:rsidR="0073579C" w:rsidRDefault="0073579C">
            <w:pPr>
              <w:rPr>
                <w:rFonts w:cs="Calibri"/>
                <w:color w:val="000000"/>
                <w:szCs w:val="20"/>
              </w:rPr>
            </w:pPr>
            <w:r>
              <w:rPr>
                <w:rFonts w:cs="Calibri"/>
                <w:color w:val="000000"/>
                <w:szCs w:val="20"/>
              </w:rPr>
              <w:t>400 000</w:t>
            </w:r>
          </w:p>
        </w:tc>
        <w:tc>
          <w:tcPr>
            <w:tcW w:w="5953" w:type="dxa"/>
            <w:tcBorders>
              <w:top w:val="nil"/>
              <w:left w:val="nil"/>
              <w:bottom w:val="single" w:sz="4" w:space="0" w:color="auto"/>
              <w:right w:val="single" w:sz="4" w:space="0" w:color="auto"/>
            </w:tcBorders>
            <w:vAlign w:val="center"/>
            <w:hideMark/>
          </w:tcPr>
          <w:p w14:paraId="00B0ED6D" w14:textId="77777777" w:rsidR="0073579C" w:rsidRDefault="0073579C">
            <w:pPr>
              <w:jc w:val="both"/>
              <w:rPr>
                <w:rFonts w:cs="Calibri"/>
                <w:color w:val="000000"/>
                <w:szCs w:val="20"/>
              </w:rPr>
            </w:pPr>
            <w:r>
              <w:rPr>
                <w:rFonts w:cs="Calibri"/>
                <w:color w:val="000000"/>
                <w:szCs w:val="20"/>
              </w:rPr>
              <w:t>vzdělávání zapojených aktérů do transformace – kroky nezbytné k realizaci transformace, konzultace (témata: DI, trauma 2024-2025 terapeutické vychovatelství 2026), podpora přehodnocení situace dětí (bod 1 spolupráce)</w:t>
            </w:r>
          </w:p>
        </w:tc>
      </w:tr>
      <w:tr w:rsidR="0073579C" w14:paraId="7FDA085D" w14:textId="77777777">
        <w:trPr>
          <w:trHeight w:val="290"/>
        </w:trPr>
        <w:tc>
          <w:tcPr>
            <w:tcW w:w="3814" w:type="dxa"/>
            <w:tcBorders>
              <w:top w:val="nil"/>
              <w:left w:val="single" w:sz="4" w:space="0" w:color="auto"/>
              <w:bottom w:val="single" w:sz="4" w:space="0" w:color="auto"/>
              <w:right w:val="single" w:sz="4" w:space="0" w:color="auto"/>
            </w:tcBorders>
            <w:vAlign w:val="center"/>
            <w:hideMark/>
          </w:tcPr>
          <w:p w14:paraId="3FE38F70" w14:textId="77777777" w:rsidR="0073579C" w:rsidRDefault="0073579C">
            <w:pPr>
              <w:jc w:val="both"/>
              <w:rPr>
                <w:rFonts w:cs="Calibri"/>
                <w:color w:val="000000"/>
                <w:szCs w:val="20"/>
              </w:rPr>
            </w:pPr>
            <w:r>
              <w:rPr>
                <w:rFonts w:cs="Calibri"/>
                <w:color w:val="000000"/>
                <w:szCs w:val="20"/>
              </w:rPr>
              <w:t>Nadační koordinátor transformace</w:t>
            </w:r>
          </w:p>
        </w:tc>
        <w:tc>
          <w:tcPr>
            <w:tcW w:w="1218" w:type="dxa"/>
            <w:tcBorders>
              <w:top w:val="nil"/>
              <w:left w:val="nil"/>
              <w:bottom w:val="single" w:sz="4" w:space="0" w:color="auto"/>
              <w:right w:val="single" w:sz="4" w:space="0" w:color="auto"/>
            </w:tcBorders>
            <w:noWrap/>
            <w:vAlign w:val="center"/>
            <w:hideMark/>
          </w:tcPr>
          <w:p w14:paraId="1802A17B" w14:textId="77777777" w:rsidR="0073579C" w:rsidRDefault="0073579C">
            <w:pPr>
              <w:rPr>
                <w:rFonts w:cs="Calibri"/>
                <w:color w:val="000000"/>
                <w:szCs w:val="20"/>
              </w:rPr>
            </w:pPr>
            <w:r>
              <w:rPr>
                <w:rFonts w:cs="Calibri"/>
                <w:color w:val="000000"/>
                <w:szCs w:val="20"/>
              </w:rPr>
              <w:t>630 000</w:t>
            </w:r>
          </w:p>
        </w:tc>
        <w:tc>
          <w:tcPr>
            <w:tcW w:w="5953" w:type="dxa"/>
            <w:tcBorders>
              <w:top w:val="nil"/>
              <w:left w:val="nil"/>
              <w:bottom w:val="single" w:sz="4" w:space="0" w:color="auto"/>
              <w:right w:val="single" w:sz="4" w:space="0" w:color="auto"/>
            </w:tcBorders>
            <w:vAlign w:val="center"/>
            <w:hideMark/>
          </w:tcPr>
          <w:p w14:paraId="37F9A920" w14:textId="77777777" w:rsidR="0073579C" w:rsidRDefault="0073579C">
            <w:pPr>
              <w:jc w:val="both"/>
              <w:rPr>
                <w:rFonts w:cs="Calibri"/>
                <w:color w:val="000000"/>
                <w:szCs w:val="20"/>
              </w:rPr>
            </w:pPr>
            <w:r>
              <w:rPr>
                <w:rFonts w:cs="Calibri"/>
                <w:color w:val="000000"/>
                <w:szCs w:val="20"/>
              </w:rPr>
              <w:t>koordinace krajských aktivit ze strany iniciativy 8000 důvodů, implementace bodů strategie (koordinace bodů 1-4 spolupráce)</w:t>
            </w:r>
          </w:p>
        </w:tc>
      </w:tr>
      <w:tr w:rsidR="0073579C" w14:paraId="2B6E6848" w14:textId="77777777">
        <w:trPr>
          <w:trHeight w:val="799"/>
        </w:trPr>
        <w:tc>
          <w:tcPr>
            <w:tcW w:w="3814" w:type="dxa"/>
            <w:tcBorders>
              <w:top w:val="nil"/>
              <w:left w:val="single" w:sz="4" w:space="0" w:color="auto"/>
              <w:bottom w:val="single" w:sz="4" w:space="0" w:color="auto"/>
              <w:right w:val="single" w:sz="4" w:space="0" w:color="auto"/>
            </w:tcBorders>
            <w:vAlign w:val="center"/>
            <w:hideMark/>
          </w:tcPr>
          <w:p w14:paraId="6A7FCC85" w14:textId="77777777" w:rsidR="0073579C" w:rsidRDefault="0073579C">
            <w:pPr>
              <w:jc w:val="both"/>
              <w:rPr>
                <w:rFonts w:cs="Calibri"/>
                <w:color w:val="000000"/>
                <w:szCs w:val="20"/>
              </w:rPr>
            </w:pPr>
            <w:r>
              <w:rPr>
                <w:rFonts w:cs="Calibri"/>
                <w:color w:val="000000"/>
                <w:szCs w:val="20"/>
              </w:rPr>
              <w:t>Strategie péče o ohrožené děti a rodiny v Jihočeském kraji a implementace vybraných doporučení</w:t>
            </w:r>
          </w:p>
        </w:tc>
        <w:tc>
          <w:tcPr>
            <w:tcW w:w="1218" w:type="dxa"/>
            <w:tcBorders>
              <w:top w:val="nil"/>
              <w:left w:val="nil"/>
              <w:bottom w:val="single" w:sz="4" w:space="0" w:color="auto"/>
              <w:right w:val="single" w:sz="4" w:space="0" w:color="auto"/>
            </w:tcBorders>
            <w:noWrap/>
            <w:vAlign w:val="center"/>
            <w:hideMark/>
          </w:tcPr>
          <w:p w14:paraId="43D60A85" w14:textId="77777777" w:rsidR="0073579C" w:rsidRDefault="0073579C">
            <w:pPr>
              <w:jc w:val="both"/>
              <w:rPr>
                <w:rFonts w:cs="Calibri"/>
                <w:color w:val="000000"/>
                <w:szCs w:val="20"/>
              </w:rPr>
            </w:pPr>
            <w:r>
              <w:rPr>
                <w:rFonts w:cs="Calibri"/>
                <w:color w:val="000000"/>
                <w:szCs w:val="20"/>
              </w:rPr>
              <w:t>338 000</w:t>
            </w:r>
          </w:p>
        </w:tc>
        <w:tc>
          <w:tcPr>
            <w:tcW w:w="5953" w:type="dxa"/>
            <w:tcBorders>
              <w:top w:val="nil"/>
              <w:left w:val="nil"/>
              <w:bottom w:val="single" w:sz="4" w:space="0" w:color="auto"/>
              <w:right w:val="single" w:sz="4" w:space="0" w:color="auto"/>
            </w:tcBorders>
            <w:vAlign w:val="center"/>
            <w:hideMark/>
          </w:tcPr>
          <w:p w14:paraId="055E61FE" w14:textId="77777777" w:rsidR="0073579C" w:rsidRDefault="0073579C">
            <w:pPr>
              <w:jc w:val="both"/>
              <w:rPr>
                <w:rFonts w:cs="Calibri"/>
                <w:color w:val="000000"/>
                <w:szCs w:val="20"/>
              </w:rPr>
            </w:pPr>
            <w:r>
              <w:rPr>
                <w:rFonts w:cs="Calibri"/>
                <w:color w:val="000000"/>
                <w:szCs w:val="20"/>
              </w:rPr>
              <w:t xml:space="preserve"> vytvoření a vedení pracovní skupiny kraje k obsahu strategie (zástupci KÚ, OSPOD, případně dalších organizací), vytvoření struktury strategie, formulování cílů, sepsání strategie včetně opatření, předložení strategie kraji, zapracování připomínek, korektury a grafické zpracování, představení strategie na setkání v kraji.</w:t>
            </w:r>
          </w:p>
          <w:p w14:paraId="10E2004E" w14:textId="77777777" w:rsidR="0073579C" w:rsidRDefault="0073579C">
            <w:pPr>
              <w:jc w:val="both"/>
              <w:rPr>
                <w:rFonts w:cs="Calibri"/>
                <w:bCs/>
                <w:color w:val="000000"/>
                <w:szCs w:val="20"/>
              </w:rPr>
            </w:pPr>
            <w:r>
              <w:rPr>
                <w:rFonts w:cs="Calibri"/>
                <w:color w:val="000000"/>
                <w:szCs w:val="20"/>
              </w:rPr>
              <w:t xml:space="preserve">Implementace strategie – </w:t>
            </w:r>
            <w:r>
              <w:rPr>
                <w:rFonts w:cs="Calibri"/>
                <w:bCs/>
                <w:color w:val="000000"/>
                <w:szCs w:val="20"/>
              </w:rPr>
              <w:t xml:space="preserve">vytvoření modelu alternativní podpory mladistvých mimo rodinu, nastavení modelu spolupráce subjektů služeb při práci s rodinou dětí umístěných mimo domov s cílem jejich bezpečného návratu do rodiny – 2026-2027 </w:t>
            </w:r>
          </w:p>
          <w:p w14:paraId="49325833" w14:textId="77777777" w:rsidR="0073579C" w:rsidRDefault="0073579C">
            <w:pPr>
              <w:jc w:val="both"/>
              <w:rPr>
                <w:rFonts w:cs="Calibri"/>
                <w:color w:val="000000"/>
                <w:szCs w:val="20"/>
              </w:rPr>
            </w:pPr>
            <w:r>
              <w:rPr>
                <w:rFonts w:cs="Calibri"/>
                <w:bCs/>
                <w:color w:val="000000"/>
                <w:szCs w:val="20"/>
              </w:rPr>
              <w:t>Včetně Kulatého stolu pro všechny kraje – představení dobré praxe z JČK (body 3 a 4 spolupráce)</w:t>
            </w:r>
          </w:p>
        </w:tc>
      </w:tr>
      <w:tr w:rsidR="0073579C" w14:paraId="73C49A11" w14:textId="77777777">
        <w:trPr>
          <w:trHeight w:val="411"/>
        </w:trPr>
        <w:tc>
          <w:tcPr>
            <w:tcW w:w="3814" w:type="dxa"/>
            <w:tcBorders>
              <w:top w:val="nil"/>
              <w:left w:val="single" w:sz="4" w:space="0" w:color="auto"/>
              <w:bottom w:val="single" w:sz="4" w:space="0" w:color="auto"/>
              <w:right w:val="single" w:sz="4" w:space="0" w:color="auto"/>
            </w:tcBorders>
            <w:vAlign w:val="center"/>
          </w:tcPr>
          <w:p w14:paraId="45A35E22" w14:textId="77777777" w:rsidR="0073579C" w:rsidRDefault="0073579C" w:rsidP="00592159">
            <w:pPr>
              <w:jc w:val="both"/>
              <w:rPr>
                <w:rFonts w:cs="Calibri"/>
                <w:color w:val="000000"/>
                <w:szCs w:val="20"/>
              </w:rPr>
            </w:pPr>
            <w:r>
              <w:rPr>
                <w:rFonts w:cs="Calibri"/>
                <w:color w:val="000000"/>
                <w:szCs w:val="20"/>
              </w:rPr>
              <w:t xml:space="preserve">Odborní konzultanti </w:t>
            </w:r>
          </w:p>
        </w:tc>
        <w:tc>
          <w:tcPr>
            <w:tcW w:w="1218" w:type="dxa"/>
            <w:tcBorders>
              <w:top w:val="nil"/>
              <w:left w:val="nil"/>
              <w:bottom w:val="single" w:sz="4" w:space="0" w:color="auto"/>
              <w:right w:val="single" w:sz="4" w:space="0" w:color="auto"/>
            </w:tcBorders>
            <w:noWrap/>
            <w:vAlign w:val="center"/>
          </w:tcPr>
          <w:p w14:paraId="275F1F3C" w14:textId="77777777" w:rsidR="0073579C" w:rsidRDefault="0073579C" w:rsidP="00592159">
            <w:pPr>
              <w:jc w:val="both"/>
              <w:rPr>
                <w:rFonts w:cs="Calibri"/>
                <w:color w:val="000000"/>
                <w:szCs w:val="20"/>
              </w:rPr>
            </w:pPr>
            <w:r>
              <w:rPr>
                <w:rFonts w:cs="Calibri"/>
                <w:color w:val="000000"/>
                <w:szCs w:val="20"/>
              </w:rPr>
              <w:t xml:space="preserve">  43 500</w:t>
            </w:r>
          </w:p>
        </w:tc>
        <w:tc>
          <w:tcPr>
            <w:tcW w:w="5953" w:type="dxa"/>
            <w:tcBorders>
              <w:top w:val="nil"/>
              <w:left w:val="nil"/>
              <w:bottom w:val="single" w:sz="4" w:space="0" w:color="auto"/>
              <w:right w:val="single" w:sz="4" w:space="0" w:color="auto"/>
            </w:tcBorders>
            <w:vAlign w:val="center"/>
          </w:tcPr>
          <w:p w14:paraId="073E1552" w14:textId="77777777" w:rsidR="0073579C" w:rsidRDefault="0073579C" w:rsidP="00592159">
            <w:pPr>
              <w:jc w:val="both"/>
              <w:rPr>
                <w:rFonts w:cs="Calibri"/>
                <w:color w:val="000000"/>
                <w:szCs w:val="20"/>
              </w:rPr>
            </w:pPr>
            <w:r>
              <w:rPr>
                <w:rFonts w:cs="Calibri"/>
                <w:color w:val="000000"/>
                <w:szCs w:val="20"/>
              </w:rPr>
              <w:t>podpora transformovaných domácností (bod 1 spolupráce)</w:t>
            </w:r>
          </w:p>
        </w:tc>
      </w:tr>
      <w:tr w:rsidR="0073579C" w14:paraId="73649754" w14:textId="77777777">
        <w:trPr>
          <w:trHeight w:val="411"/>
        </w:trPr>
        <w:tc>
          <w:tcPr>
            <w:tcW w:w="3814" w:type="dxa"/>
            <w:tcBorders>
              <w:top w:val="nil"/>
              <w:left w:val="single" w:sz="4" w:space="0" w:color="auto"/>
              <w:bottom w:val="single" w:sz="4" w:space="0" w:color="auto"/>
              <w:right w:val="single" w:sz="4" w:space="0" w:color="auto"/>
            </w:tcBorders>
            <w:vAlign w:val="center"/>
            <w:hideMark/>
          </w:tcPr>
          <w:p w14:paraId="58576F9E" w14:textId="77777777" w:rsidR="0073579C" w:rsidRDefault="0073579C" w:rsidP="00592159">
            <w:pPr>
              <w:jc w:val="both"/>
              <w:rPr>
                <w:rFonts w:cs="Calibri"/>
                <w:b/>
                <w:color w:val="000000"/>
                <w:szCs w:val="20"/>
              </w:rPr>
            </w:pPr>
            <w:r>
              <w:rPr>
                <w:rFonts w:cs="Calibri"/>
                <w:color w:val="000000"/>
                <w:szCs w:val="20"/>
              </w:rPr>
              <w:t xml:space="preserve">Celkem </w:t>
            </w:r>
          </w:p>
        </w:tc>
        <w:tc>
          <w:tcPr>
            <w:tcW w:w="1218" w:type="dxa"/>
            <w:tcBorders>
              <w:top w:val="nil"/>
              <w:left w:val="nil"/>
              <w:bottom w:val="single" w:sz="4" w:space="0" w:color="auto"/>
              <w:right w:val="single" w:sz="4" w:space="0" w:color="auto"/>
            </w:tcBorders>
            <w:noWrap/>
            <w:vAlign w:val="center"/>
            <w:hideMark/>
          </w:tcPr>
          <w:p w14:paraId="2D61DA8A" w14:textId="77777777" w:rsidR="0073579C" w:rsidRDefault="0073579C" w:rsidP="00592159">
            <w:pPr>
              <w:jc w:val="both"/>
              <w:rPr>
                <w:rFonts w:cs="Calibri"/>
                <w:b/>
                <w:bCs/>
                <w:color w:val="000000"/>
                <w:szCs w:val="20"/>
              </w:rPr>
            </w:pPr>
            <w:r>
              <w:rPr>
                <w:rFonts w:cs="Calibri"/>
                <w:color w:val="000000"/>
                <w:szCs w:val="20"/>
              </w:rPr>
              <w:t>1 568 000</w:t>
            </w:r>
          </w:p>
        </w:tc>
        <w:tc>
          <w:tcPr>
            <w:tcW w:w="5953" w:type="dxa"/>
            <w:tcBorders>
              <w:top w:val="nil"/>
              <w:left w:val="nil"/>
              <w:bottom w:val="single" w:sz="4" w:space="0" w:color="auto"/>
              <w:right w:val="single" w:sz="4" w:space="0" w:color="auto"/>
            </w:tcBorders>
            <w:vAlign w:val="center"/>
            <w:hideMark/>
          </w:tcPr>
          <w:p w14:paraId="1E09A751" w14:textId="77777777" w:rsidR="0073579C" w:rsidRDefault="0073579C" w:rsidP="00592159">
            <w:pPr>
              <w:jc w:val="both"/>
              <w:rPr>
                <w:rFonts w:cs="Calibri"/>
                <w:color w:val="000000"/>
                <w:szCs w:val="20"/>
              </w:rPr>
            </w:pPr>
          </w:p>
        </w:tc>
      </w:tr>
    </w:tbl>
    <w:p w14:paraId="750E679A" w14:textId="77777777" w:rsidR="0073579C" w:rsidRDefault="0073579C" w:rsidP="00690B7F">
      <w:pPr>
        <w:jc w:val="both"/>
        <w:rPr>
          <w:rFonts w:cs="Tahoma"/>
          <w:szCs w:val="20"/>
        </w:rPr>
      </w:pPr>
    </w:p>
    <w:p w14:paraId="44A962FA" w14:textId="77777777" w:rsidR="0073579C" w:rsidRDefault="0073579C" w:rsidP="00690B7F">
      <w:pPr>
        <w:jc w:val="both"/>
        <w:rPr>
          <w:rFonts w:cs="Tahoma"/>
          <w:szCs w:val="20"/>
        </w:rPr>
      </w:pPr>
      <w:r>
        <w:rPr>
          <w:rFonts w:cs="Tahoma"/>
          <w:szCs w:val="20"/>
        </w:rPr>
        <w:t>Proces transformace DD probíhá ve spolupráci s OSOV. OŠMT a OSOV hodnotí Smlouvu o poskytnutí podpory ze strany Nadace J&amp;T jako výhodnou, neboť pro Jihočeský kraj z této smlouvy neplynou žádné finanční závazky. Podpora, kterou Jihočeský kraj čerpá je v podobě tzv. člověkohodin, tzn. že Nadace J&amp;T platí odborné pracovníky, konzultanty, specialisty a experty, kteří pomáhají Jihočeskému kraji a jím zřizovaným dětským domovům s transformací DD.</w:t>
      </w:r>
    </w:p>
    <w:p w14:paraId="3146D72E" w14:textId="77777777" w:rsidR="0073579C" w:rsidRDefault="0073579C" w:rsidP="004851D3">
      <w:pPr>
        <w:pStyle w:val="KUJKnormal"/>
      </w:pPr>
    </w:p>
    <w:p w14:paraId="05B9C8B2" w14:textId="77777777" w:rsidR="0073579C" w:rsidRDefault="0073579C" w:rsidP="004851D3">
      <w:pPr>
        <w:pStyle w:val="KUJKnormal"/>
      </w:pPr>
    </w:p>
    <w:p w14:paraId="435504FE" w14:textId="77777777" w:rsidR="0073579C" w:rsidRDefault="0073579C" w:rsidP="004851D3">
      <w:pPr>
        <w:pStyle w:val="KUJKnormal"/>
      </w:pPr>
      <w:r>
        <w:t>Finanční nároky a krytí: Pro Jihočeský kraj neplynou z tohoto Dodatku č. 2 ke smlouvě o spolupráci žádné finanční závazky.</w:t>
      </w:r>
    </w:p>
    <w:p w14:paraId="2FAD642F" w14:textId="77777777" w:rsidR="0073579C" w:rsidRDefault="0073579C" w:rsidP="004851D3">
      <w:pPr>
        <w:pStyle w:val="KUJKnormal"/>
      </w:pPr>
    </w:p>
    <w:p w14:paraId="29E925BC" w14:textId="77777777" w:rsidR="0073579C" w:rsidRDefault="0073579C" w:rsidP="004851D3">
      <w:pPr>
        <w:pStyle w:val="KUJKnormal"/>
      </w:pPr>
    </w:p>
    <w:p w14:paraId="70595BC9" w14:textId="77777777" w:rsidR="0073579C" w:rsidRDefault="0073579C" w:rsidP="006534CD">
      <w:pPr>
        <w:pStyle w:val="KUJKnormal"/>
      </w:pPr>
      <w:r>
        <w:t>Vyjádření správce rozpočtu: Bc. Blanka Klímová (OEKO): Souhlasím</w:t>
      </w:r>
      <w:r w:rsidRPr="007666AA">
        <w:t xml:space="preserve"> – z</w:t>
      </w:r>
      <w:r>
        <w:t xml:space="preserve"> hlediska rozpočtu. Dle vyúčtovacích dokladů je každý rok následně účtováno o přijetí daru a pořízení služeb. </w:t>
      </w:r>
    </w:p>
    <w:p w14:paraId="2F231A98" w14:textId="77777777" w:rsidR="0073579C" w:rsidRDefault="0073579C" w:rsidP="004851D3">
      <w:pPr>
        <w:pStyle w:val="KUJKnormal"/>
      </w:pPr>
    </w:p>
    <w:p w14:paraId="70BFF456" w14:textId="77777777" w:rsidR="0073579C" w:rsidRDefault="0073579C" w:rsidP="004851D3">
      <w:pPr>
        <w:pStyle w:val="KUJKnormal"/>
      </w:pPr>
    </w:p>
    <w:p w14:paraId="0F0D6D26" w14:textId="77777777" w:rsidR="0073579C" w:rsidRPr="00E1505C" w:rsidRDefault="0073579C" w:rsidP="00E1505C">
      <w:pPr>
        <w:jc w:val="both"/>
        <w:rPr>
          <w:rFonts w:cs="Tahoma"/>
          <w:szCs w:val="20"/>
        </w:rPr>
      </w:pPr>
      <w:r w:rsidRPr="00E1505C">
        <w:rPr>
          <w:rFonts w:cs="Tahoma"/>
          <w:szCs w:val="20"/>
        </w:rPr>
        <w:t>Návrh projednán (stanoviska): Projednáno Radou Jihočeského kraje dne 4. 12. 2025 a doporučeno Zastupitelstvu Jihočeského kraje ke schválení. Projednáno Výborem pro výchovu, vzdělávání a zaměstnanost Zastupitelstva Jihočeského kraje</w:t>
      </w:r>
      <w:r w:rsidRPr="00E1505C">
        <w:rPr>
          <w:rFonts w:cs="Tahoma"/>
          <w:b/>
          <w:bCs/>
          <w:szCs w:val="20"/>
        </w:rPr>
        <w:t> </w:t>
      </w:r>
      <w:r w:rsidRPr="00E1505C">
        <w:rPr>
          <w:rFonts w:cs="Tahoma"/>
          <w:szCs w:val="20"/>
        </w:rPr>
        <w:t>dne 8. 12. 2025 a doporučeno Zastupitelstvu</w:t>
      </w:r>
      <w:r>
        <w:rPr>
          <w:rFonts w:cs="Tahoma"/>
          <w:szCs w:val="20"/>
        </w:rPr>
        <w:t xml:space="preserve"> </w:t>
      </w:r>
      <w:r w:rsidRPr="00E1505C">
        <w:rPr>
          <w:rFonts w:cs="Tahoma"/>
          <w:szCs w:val="20"/>
        </w:rPr>
        <w:t>Jihočeského kraje ke schválení.</w:t>
      </w:r>
    </w:p>
    <w:p w14:paraId="1120FF7C" w14:textId="77777777" w:rsidR="0073579C" w:rsidRDefault="0073579C" w:rsidP="004851D3">
      <w:pPr>
        <w:pStyle w:val="KUJKnormal"/>
      </w:pPr>
    </w:p>
    <w:p w14:paraId="39F5DFC2" w14:textId="77777777" w:rsidR="0073579C" w:rsidRDefault="0073579C" w:rsidP="004851D3">
      <w:pPr>
        <w:pStyle w:val="KUJKnormal"/>
      </w:pPr>
    </w:p>
    <w:p w14:paraId="2895F9A8" w14:textId="77777777" w:rsidR="0073579C" w:rsidRDefault="0073579C" w:rsidP="004851D3">
      <w:pPr>
        <w:pStyle w:val="KUJKtucny"/>
      </w:pPr>
      <w:r w:rsidRPr="007939A8">
        <w:t>PŘÍLOHY:</w:t>
      </w:r>
    </w:p>
    <w:p w14:paraId="1C977641" w14:textId="77777777" w:rsidR="0073579C" w:rsidRPr="00B52AA9" w:rsidRDefault="0073579C" w:rsidP="00BA4228">
      <w:pPr>
        <w:pStyle w:val="KUJKcislovany"/>
        <w:spacing w:line="240" w:lineRule="auto"/>
      </w:pPr>
      <w:r>
        <w:t>Dodatek č. 2 ke smlouvě o spolupráci</w:t>
      </w:r>
      <w:r w:rsidRPr="0081756D">
        <w:t xml:space="preserve"> (</w:t>
      </w:r>
      <w:r>
        <w:t>Dodatek č. 2 ke smlouvě o spolupráci.docx</w:t>
      </w:r>
      <w:r w:rsidRPr="0081756D">
        <w:t>)</w:t>
      </w:r>
    </w:p>
    <w:p w14:paraId="79A05561" w14:textId="77777777" w:rsidR="0073579C" w:rsidRPr="00B52AA9" w:rsidRDefault="0073579C" w:rsidP="00BA4228">
      <w:pPr>
        <w:pStyle w:val="KUJKcislovany"/>
        <w:spacing w:line="240" w:lineRule="auto"/>
      </w:pPr>
      <w:r>
        <w:t>Dodatek č. 1 ke smlouvě o spolupráci</w:t>
      </w:r>
      <w:r w:rsidRPr="0081756D">
        <w:t xml:space="preserve"> (</w:t>
      </w:r>
      <w:r>
        <w:t>Dodatek č. 1 ke smlouvě o spolupráci.pdf</w:t>
      </w:r>
      <w:r w:rsidRPr="0081756D">
        <w:t>)</w:t>
      </w:r>
    </w:p>
    <w:p w14:paraId="16F86C2B" w14:textId="77777777" w:rsidR="0073579C" w:rsidRPr="00BA4228" w:rsidRDefault="0073579C" w:rsidP="00BA4228">
      <w:pPr>
        <w:pStyle w:val="KUJKcislovany"/>
        <w:spacing w:line="240" w:lineRule="auto"/>
      </w:pPr>
      <w:r>
        <w:t>Smlouva o spolupráci</w:t>
      </w:r>
      <w:r w:rsidRPr="0081756D">
        <w:t xml:space="preserve"> (</w:t>
      </w:r>
      <w:r>
        <w:t>Smlouva o spolupráci.pdf</w:t>
      </w:r>
      <w:r w:rsidRPr="0081756D">
        <w:t>)</w:t>
      </w:r>
    </w:p>
    <w:p w14:paraId="535A5FE6" w14:textId="77777777" w:rsidR="0073579C" w:rsidRDefault="0073579C" w:rsidP="004851D3">
      <w:pPr>
        <w:pStyle w:val="KUJKnormal"/>
      </w:pPr>
    </w:p>
    <w:p w14:paraId="4D1DCFD3" w14:textId="77777777" w:rsidR="0073579C" w:rsidRDefault="0073579C" w:rsidP="004851D3">
      <w:pPr>
        <w:pStyle w:val="KUJKnormal"/>
      </w:pPr>
    </w:p>
    <w:p w14:paraId="0BBAA041" w14:textId="77777777" w:rsidR="0073579C" w:rsidRPr="00BA4228" w:rsidRDefault="0073579C" w:rsidP="004851D3">
      <w:pPr>
        <w:pStyle w:val="KUJKtucny"/>
        <w:rPr>
          <w:b w:val="0"/>
          <w:bCs/>
        </w:rPr>
      </w:pPr>
      <w:r w:rsidRPr="007C1EE7">
        <w:t>Zodpovídá:</w:t>
      </w:r>
      <w:r>
        <w:t xml:space="preserve"> </w:t>
      </w:r>
      <w:r w:rsidRPr="00BA4228">
        <w:rPr>
          <w:b w:val="0"/>
          <w:bCs/>
        </w:rPr>
        <w:t>vedoucí odboru – Ing. Hana Šímová</w:t>
      </w:r>
    </w:p>
    <w:p w14:paraId="11A2A5D9" w14:textId="77777777" w:rsidR="0073579C" w:rsidRDefault="0073579C" w:rsidP="004851D3">
      <w:pPr>
        <w:pStyle w:val="KUJKnormal"/>
      </w:pPr>
    </w:p>
    <w:p w14:paraId="27C12D35" w14:textId="77777777" w:rsidR="0073579C" w:rsidRDefault="0073579C" w:rsidP="004851D3">
      <w:pPr>
        <w:pStyle w:val="KUJKnormal"/>
      </w:pPr>
      <w:r>
        <w:t>Termín kontroly: 31. 12. 2025</w:t>
      </w:r>
    </w:p>
    <w:p w14:paraId="38F006A6" w14:textId="77777777" w:rsidR="0073579C" w:rsidRDefault="0073579C" w:rsidP="004851D3">
      <w:pPr>
        <w:pStyle w:val="KUJKnormal"/>
      </w:pPr>
      <w:r>
        <w:t>Termín splnění: 31. 12. 2025</w:t>
      </w:r>
    </w:p>
    <w:p w14:paraId="6B3BD137" w14:textId="77777777" w:rsidR="0073579C" w:rsidRPr="00BB6565" w:rsidRDefault="0073579C"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2340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2340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1347" w14:textId="77777777" w:rsidR="0073579C" w:rsidRDefault="0073579C" w:rsidP="0073579C">
    <w:r>
      <w:rPr>
        <w:noProof/>
      </w:rPr>
      <w:pict w14:anchorId="12C8408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F323964" w14:textId="77777777" w:rsidR="0073579C" w:rsidRPr="00D405BE" w:rsidRDefault="0073579C" w:rsidP="0073579C">
                <w:pPr>
                  <w:spacing w:after="60"/>
                  <w:rPr>
                    <w:rFonts w:cs="Arial"/>
                    <w:b/>
                    <w:sz w:val="22"/>
                  </w:rPr>
                </w:pPr>
                <w:r w:rsidRPr="00D405BE">
                  <w:rPr>
                    <w:rFonts w:cs="Arial"/>
                    <w:b/>
                    <w:sz w:val="22"/>
                  </w:rPr>
                  <w:t>ZASTUPITELSTVO JIHOČESKÉHO KRAJE</w:t>
                </w:r>
              </w:p>
              <w:p w14:paraId="44D0B521" w14:textId="77777777" w:rsidR="0073579C" w:rsidRPr="00D405BE" w:rsidRDefault="0073579C" w:rsidP="0073579C">
                <w:pPr>
                  <w:spacing w:after="60"/>
                  <w:rPr>
                    <w:rFonts w:cs="Arial"/>
                    <w:sz w:val="22"/>
                  </w:rPr>
                </w:pPr>
                <w:r w:rsidRPr="00D405BE">
                  <w:rPr>
                    <w:rFonts w:cs="Arial"/>
                    <w:sz w:val="22"/>
                  </w:rPr>
                  <w:t>NÁVRH USNESENÍ</w:t>
                </w:r>
              </w:p>
            </w:txbxContent>
          </v:textbox>
        </v:shape>
      </w:pict>
    </w:r>
    <w:r>
      <w:rPr>
        <w:noProof/>
      </w:rPr>
    </w:r>
    <w:r>
      <w:pict w14:anchorId="27C4539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1C8CB76">
        <v:rect id="_x0000_i1026" style="width:481.9pt;height:2pt" o:hralign="center" o:hrstd="t" o:hrnoshade="t" o:hr="t" fillcolor="black" stroked="f"/>
      </w:pict>
    </w:r>
  </w:p>
  <w:p w14:paraId="6F9124B9" w14:textId="77777777" w:rsidR="0073579C" w:rsidRPr="0073579C" w:rsidRDefault="0073579C" w:rsidP="007357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4455D1"/>
    <w:multiLevelType w:val="hybridMultilevel"/>
    <w:tmpl w:val="0A7EE878"/>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F52CD"/>
    <w:multiLevelType w:val="hybridMultilevel"/>
    <w:tmpl w:val="A52037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A33420"/>
    <w:multiLevelType w:val="hybridMultilevel"/>
    <w:tmpl w:val="FFFFFFFF"/>
    <w:lvl w:ilvl="0" w:tplc="0405000F">
      <w:start w:val="2"/>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AAF3D10"/>
    <w:multiLevelType w:val="hybridMultilevel"/>
    <w:tmpl w:val="C1CE9E8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C55195"/>
    <w:multiLevelType w:val="hybridMultilevel"/>
    <w:tmpl w:val="FFFFFFFF"/>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Times New Roman"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Times New Roman"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Times New Roman" w:hint="default"/>
      </w:rPr>
    </w:lvl>
    <w:lvl w:ilvl="8" w:tplc="04050005">
      <w:start w:val="1"/>
      <w:numFmt w:val="bullet"/>
      <w:lvlText w:val=""/>
      <w:lvlJc w:val="left"/>
      <w:pPr>
        <w:ind w:left="6829" w:hanging="360"/>
      </w:pPr>
      <w:rPr>
        <w:rFonts w:ascii="Wingdings" w:hAnsi="Wingdings" w:hint="default"/>
      </w:rPr>
    </w:lvl>
  </w:abstractNum>
  <w:abstractNum w:abstractNumId="13"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AF1EC9"/>
    <w:multiLevelType w:val="hybridMultilevel"/>
    <w:tmpl w:val="8BACC9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81877875">
    <w:abstractNumId w:val="2"/>
  </w:num>
  <w:num w:numId="2" w16cid:durableId="1786733671">
    <w:abstractNumId w:val="4"/>
  </w:num>
  <w:num w:numId="3" w16cid:durableId="1454440900">
    <w:abstractNumId w:val="14"/>
  </w:num>
  <w:num w:numId="4" w16cid:durableId="537623535">
    <w:abstractNumId w:val="11"/>
  </w:num>
  <w:num w:numId="5" w16cid:durableId="1062561235">
    <w:abstractNumId w:val="0"/>
  </w:num>
  <w:num w:numId="6" w16cid:durableId="884828286">
    <w:abstractNumId w:val="5"/>
  </w:num>
  <w:num w:numId="7" w16cid:durableId="1986659466">
    <w:abstractNumId w:val="9"/>
  </w:num>
  <w:num w:numId="8" w16cid:durableId="1146972910">
    <w:abstractNumId w:val="6"/>
  </w:num>
  <w:num w:numId="9" w16cid:durableId="1317371545">
    <w:abstractNumId w:val="7"/>
  </w:num>
  <w:num w:numId="10" w16cid:durableId="374937236">
    <w:abstractNumId w:val="13"/>
  </w:num>
  <w:num w:numId="11" w16cid:durableId="1021325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656606">
    <w:abstractNumId w:val="3"/>
  </w:num>
  <w:num w:numId="13" w16cid:durableId="177466288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613841">
    <w:abstractNumId w:val="12"/>
  </w:num>
  <w:num w:numId="15" w16cid:durableId="2097554978">
    <w:abstractNumId w:val="1"/>
  </w:num>
  <w:num w:numId="16" w16cid:durableId="295529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5EEB"/>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682"/>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579C"/>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Normlnweb">
    <w:name w:val="Normal (Web)"/>
    <w:basedOn w:val="Normln"/>
    <w:uiPriority w:val="99"/>
    <w:semiHidden/>
    <w:unhideWhenUsed/>
    <w:rsid w:val="0073579C"/>
    <w:pPr>
      <w:spacing w:before="100" w:beforeAutospacing="1" w:after="100" w:afterAutospacing="1" w:line="240" w:lineRule="auto"/>
    </w:pPr>
    <w:rPr>
      <w:rFonts w:ascii="Calibri" w:eastAsia="Aptos" w:hAnsi="Calibri" w:cs="Calibri"/>
      <w:sz w:val="22"/>
      <w:lang w:eastAsia="cs-CZ"/>
    </w:rPr>
  </w:style>
  <w:style w:type="paragraph" w:styleId="Zkladntext2">
    <w:name w:val="Body Text 2"/>
    <w:basedOn w:val="Normln"/>
    <w:link w:val="Zkladntext2Char"/>
    <w:uiPriority w:val="99"/>
    <w:semiHidden/>
    <w:unhideWhenUsed/>
    <w:rsid w:val="0073579C"/>
    <w:pPr>
      <w:spacing w:line="240" w:lineRule="auto"/>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uiPriority w:val="99"/>
    <w:semiHidden/>
    <w:rsid w:val="0073579C"/>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7645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2025-12-22T09:55:00Z</dcterms:created>
  <dcterms:modified xsi:type="dcterms:W3CDTF">2025-12-22T09:55:00Z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6939349</vt:i4>
  </property>
  <property fmtid="{D5CDD505-2E9C-101B-9397-08002B2CF9AE}" pid="5" name="UlozitJako">
    <vt:lpwstr>C:\Users\mrazkova\AppData\Local\Temp\iU70515080\Zastupitelstvo\2025-12-18\Navrhy\346-ZK-25.</vt:lpwstr>
  </property>
  <property fmtid="{D5CDD505-2E9C-101B-9397-08002B2CF9AE}" pid="6" name="Zpracovat">
    <vt:bool>false</vt:bool>
  </property>
</Properties>
</file>