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67C9B" w14:paraId="78C3AE3D" w14:textId="77777777" w:rsidTr="00D67798">
        <w:trPr>
          <w:trHeight w:hRule="exact" w:val="397"/>
        </w:trPr>
        <w:tc>
          <w:tcPr>
            <w:tcW w:w="2376" w:type="dxa"/>
            <w:hideMark/>
          </w:tcPr>
          <w:p w14:paraId="2DE37613" w14:textId="77777777" w:rsidR="00367C9B" w:rsidRDefault="00367C9B" w:rsidP="00970720">
            <w:pPr>
              <w:pStyle w:val="KUJKtucny"/>
            </w:pPr>
            <w:r>
              <w:t>Datum jednání:</w:t>
            </w:r>
          </w:p>
        </w:tc>
        <w:tc>
          <w:tcPr>
            <w:tcW w:w="3828" w:type="dxa"/>
            <w:hideMark/>
          </w:tcPr>
          <w:p w14:paraId="0A357E9D" w14:textId="77777777" w:rsidR="00367C9B" w:rsidRDefault="00367C9B" w:rsidP="00970720">
            <w:pPr>
              <w:pStyle w:val="KUJKnormal"/>
            </w:pPr>
            <w:r>
              <w:t>18. 12. 2025</w:t>
            </w:r>
          </w:p>
        </w:tc>
        <w:tc>
          <w:tcPr>
            <w:tcW w:w="2126" w:type="dxa"/>
            <w:hideMark/>
          </w:tcPr>
          <w:p w14:paraId="4146F9FE" w14:textId="77777777" w:rsidR="00367C9B" w:rsidRDefault="00367C9B" w:rsidP="00970720">
            <w:pPr>
              <w:pStyle w:val="KUJKtucny"/>
            </w:pPr>
            <w:r>
              <w:t xml:space="preserve">Bod programu: </w:t>
            </w:r>
            <w:r w:rsidRPr="00EA02F9">
              <w:rPr>
                <w:sz w:val="28"/>
              </w:rPr>
              <w:t>5</w:t>
            </w:r>
          </w:p>
        </w:tc>
        <w:tc>
          <w:tcPr>
            <w:tcW w:w="850" w:type="dxa"/>
          </w:tcPr>
          <w:p w14:paraId="5AF15E83" w14:textId="77777777" w:rsidR="00367C9B" w:rsidRDefault="00367C9B" w:rsidP="00970720">
            <w:pPr>
              <w:pStyle w:val="KUJKnormal"/>
            </w:pPr>
          </w:p>
        </w:tc>
      </w:tr>
      <w:tr w:rsidR="00367C9B" w14:paraId="71C3C54A" w14:textId="77777777" w:rsidTr="00D67798">
        <w:trPr>
          <w:cantSplit/>
          <w:trHeight w:hRule="exact" w:val="397"/>
        </w:trPr>
        <w:tc>
          <w:tcPr>
            <w:tcW w:w="2376" w:type="dxa"/>
            <w:hideMark/>
          </w:tcPr>
          <w:p w14:paraId="06005486" w14:textId="77777777" w:rsidR="00367C9B" w:rsidRDefault="00367C9B" w:rsidP="00970720">
            <w:pPr>
              <w:pStyle w:val="KUJKtucny"/>
            </w:pPr>
            <w:r>
              <w:t>Číslo návrhu:</w:t>
            </w:r>
          </w:p>
        </w:tc>
        <w:tc>
          <w:tcPr>
            <w:tcW w:w="6804" w:type="dxa"/>
            <w:gridSpan w:val="3"/>
            <w:hideMark/>
          </w:tcPr>
          <w:p w14:paraId="55B73D9E" w14:textId="77777777" w:rsidR="00367C9B" w:rsidRDefault="00367C9B" w:rsidP="00970720">
            <w:pPr>
              <w:pStyle w:val="KUJKnormal"/>
            </w:pPr>
            <w:r>
              <w:t>330/RK/25</w:t>
            </w:r>
          </w:p>
        </w:tc>
      </w:tr>
      <w:tr w:rsidR="00367C9B" w14:paraId="153B1449" w14:textId="77777777" w:rsidTr="00D67798">
        <w:trPr>
          <w:trHeight w:val="397"/>
        </w:trPr>
        <w:tc>
          <w:tcPr>
            <w:tcW w:w="2376" w:type="dxa"/>
          </w:tcPr>
          <w:p w14:paraId="7E74A17D" w14:textId="77777777" w:rsidR="00367C9B" w:rsidRDefault="00367C9B" w:rsidP="00970720"/>
          <w:p w14:paraId="5B64311E" w14:textId="77777777" w:rsidR="00367C9B" w:rsidRDefault="00367C9B" w:rsidP="00970720">
            <w:pPr>
              <w:pStyle w:val="KUJKtucny"/>
            </w:pPr>
            <w:r>
              <w:t>Název bodu:</w:t>
            </w:r>
          </w:p>
        </w:tc>
        <w:tc>
          <w:tcPr>
            <w:tcW w:w="6804" w:type="dxa"/>
            <w:gridSpan w:val="3"/>
          </w:tcPr>
          <w:p w14:paraId="2DBD3DB7" w14:textId="77777777" w:rsidR="00367C9B" w:rsidRDefault="00367C9B" w:rsidP="00970720"/>
          <w:p w14:paraId="4FF56BF2" w14:textId="77777777" w:rsidR="00367C9B" w:rsidRDefault="00367C9B" w:rsidP="00970720">
            <w:pPr>
              <w:pStyle w:val="KUJKtucny"/>
              <w:rPr>
                <w:sz w:val="22"/>
                <w:szCs w:val="22"/>
              </w:rPr>
            </w:pPr>
            <w:r>
              <w:rPr>
                <w:sz w:val="22"/>
                <w:szCs w:val="22"/>
              </w:rPr>
              <w:t>Stanovení výše měsíčních odměn za výkon funkce neuvolněného člena Zastupitelstva Jihočeského kraje od 1. 1. 2026</w:t>
            </w:r>
          </w:p>
        </w:tc>
      </w:tr>
    </w:tbl>
    <w:p w14:paraId="1685E12E" w14:textId="77777777" w:rsidR="00367C9B" w:rsidRDefault="00367C9B" w:rsidP="00D67798">
      <w:pPr>
        <w:pStyle w:val="KUJKnormal"/>
        <w:rPr>
          <w:b/>
          <w:bCs/>
        </w:rPr>
      </w:pPr>
      <w:r>
        <w:rPr>
          <w:b/>
          <w:bCs/>
        </w:rPr>
        <w:pict w14:anchorId="4C352544">
          <v:rect id="_x0000_i1029" style="width:453.6pt;height:1.5pt" o:hralign="center" o:hrstd="t" o:hrnoshade="t" o:hr="t" fillcolor="black" stroked="f"/>
        </w:pict>
      </w:r>
    </w:p>
    <w:p w14:paraId="291C5F14" w14:textId="77777777" w:rsidR="00367C9B" w:rsidRDefault="00367C9B" w:rsidP="00D67798">
      <w:pPr>
        <w:pStyle w:val="KUJKnormal"/>
      </w:pPr>
    </w:p>
    <w:p w14:paraId="4078530A" w14:textId="77777777" w:rsidR="00367C9B" w:rsidRDefault="00367C9B" w:rsidP="00D67798"/>
    <w:tbl>
      <w:tblPr>
        <w:tblW w:w="0" w:type="auto"/>
        <w:tblCellMar>
          <w:left w:w="70" w:type="dxa"/>
          <w:right w:w="70" w:type="dxa"/>
        </w:tblCellMar>
        <w:tblLook w:val="04A0" w:firstRow="1" w:lastRow="0" w:firstColumn="1" w:lastColumn="0" w:noHBand="0" w:noVBand="1"/>
      </w:tblPr>
      <w:tblGrid>
        <w:gridCol w:w="2350"/>
        <w:gridCol w:w="6862"/>
      </w:tblGrid>
      <w:tr w:rsidR="00367C9B" w14:paraId="2680922B" w14:textId="77777777" w:rsidTr="002559B8">
        <w:trPr>
          <w:trHeight w:val="397"/>
        </w:trPr>
        <w:tc>
          <w:tcPr>
            <w:tcW w:w="2350" w:type="dxa"/>
            <w:hideMark/>
          </w:tcPr>
          <w:p w14:paraId="63167921" w14:textId="77777777" w:rsidR="00367C9B" w:rsidRDefault="00367C9B" w:rsidP="002559B8">
            <w:pPr>
              <w:pStyle w:val="KUJKtucny"/>
            </w:pPr>
            <w:r>
              <w:t>Předkladatel:</w:t>
            </w:r>
          </w:p>
        </w:tc>
        <w:tc>
          <w:tcPr>
            <w:tcW w:w="6862" w:type="dxa"/>
          </w:tcPr>
          <w:p w14:paraId="7031C04D" w14:textId="77777777" w:rsidR="00367C9B" w:rsidRDefault="00367C9B" w:rsidP="002559B8">
            <w:pPr>
              <w:pStyle w:val="KUJKnormal"/>
            </w:pPr>
            <w:r>
              <w:t>MUDr. Martin Kuba</w:t>
            </w:r>
          </w:p>
          <w:p w14:paraId="3FAB3798" w14:textId="77777777" w:rsidR="00367C9B" w:rsidRDefault="00367C9B" w:rsidP="002559B8"/>
        </w:tc>
      </w:tr>
      <w:tr w:rsidR="00367C9B" w14:paraId="548EB33C" w14:textId="77777777" w:rsidTr="002559B8">
        <w:trPr>
          <w:trHeight w:val="397"/>
        </w:trPr>
        <w:tc>
          <w:tcPr>
            <w:tcW w:w="2350" w:type="dxa"/>
          </w:tcPr>
          <w:p w14:paraId="2D744E32" w14:textId="77777777" w:rsidR="00367C9B" w:rsidRDefault="00367C9B" w:rsidP="002559B8">
            <w:pPr>
              <w:pStyle w:val="KUJKtucny"/>
            </w:pPr>
            <w:r>
              <w:t>Zpracoval:</w:t>
            </w:r>
          </w:p>
          <w:p w14:paraId="61E88E15" w14:textId="77777777" w:rsidR="00367C9B" w:rsidRDefault="00367C9B" w:rsidP="002559B8"/>
        </w:tc>
        <w:tc>
          <w:tcPr>
            <w:tcW w:w="6862" w:type="dxa"/>
            <w:hideMark/>
          </w:tcPr>
          <w:p w14:paraId="319FA521" w14:textId="77777777" w:rsidR="00367C9B" w:rsidRDefault="00367C9B" w:rsidP="002559B8">
            <w:pPr>
              <w:pStyle w:val="KUJKnormal"/>
            </w:pPr>
            <w:r>
              <w:t>KHEJ</w:t>
            </w:r>
          </w:p>
        </w:tc>
      </w:tr>
      <w:tr w:rsidR="00367C9B" w14:paraId="2AEA2016" w14:textId="77777777" w:rsidTr="002559B8">
        <w:trPr>
          <w:trHeight w:val="397"/>
        </w:trPr>
        <w:tc>
          <w:tcPr>
            <w:tcW w:w="2350" w:type="dxa"/>
          </w:tcPr>
          <w:p w14:paraId="017EF33F" w14:textId="77777777" w:rsidR="00367C9B" w:rsidRPr="009715F9" w:rsidRDefault="00367C9B" w:rsidP="002559B8">
            <w:pPr>
              <w:pStyle w:val="KUJKnormal"/>
              <w:rPr>
                <w:b/>
              </w:rPr>
            </w:pPr>
            <w:r w:rsidRPr="009715F9">
              <w:rPr>
                <w:b/>
              </w:rPr>
              <w:t>Vedoucí odboru:</w:t>
            </w:r>
          </w:p>
          <w:p w14:paraId="7E466152" w14:textId="77777777" w:rsidR="00367C9B" w:rsidRDefault="00367C9B" w:rsidP="002559B8"/>
        </w:tc>
        <w:tc>
          <w:tcPr>
            <w:tcW w:w="6862" w:type="dxa"/>
            <w:hideMark/>
          </w:tcPr>
          <w:p w14:paraId="6D1071C9" w14:textId="77777777" w:rsidR="00367C9B" w:rsidRDefault="00367C9B" w:rsidP="002559B8">
            <w:pPr>
              <w:pStyle w:val="KUJKnormal"/>
            </w:pPr>
            <w:r>
              <w:t>Mgr. Petr Podhola</w:t>
            </w:r>
          </w:p>
        </w:tc>
      </w:tr>
    </w:tbl>
    <w:p w14:paraId="72DDAD67" w14:textId="77777777" w:rsidR="00367C9B" w:rsidRDefault="00367C9B" w:rsidP="00D67798">
      <w:pPr>
        <w:pStyle w:val="KUJKnormal"/>
      </w:pPr>
    </w:p>
    <w:p w14:paraId="3D523836" w14:textId="77777777" w:rsidR="00367C9B" w:rsidRPr="0052161F" w:rsidRDefault="00367C9B" w:rsidP="00D67798">
      <w:pPr>
        <w:pStyle w:val="KUJKtucny"/>
      </w:pPr>
      <w:r w:rsidRPr="0052161F">
        <w:t>NÁVRH USNESENÍ</w:t>
      </w:r>
    </w:p>
    <w:p w14:paraId="164349C2" w14:textId="77777777" w:rsidR="00367C9B" w:rsidRDefault="00367C9B" w:rsidP="00D67798">
      <w:pPr>
        <w:pStyle w:val="KUJKnormal"/>
        <w:rPr>
          <w:rFonts w:ascii="Calibri" w:hAnsi="Calibri" w:cs="Calibri"/>
          <w:sz w:val="12"/>
          <w:szCs w:val="12"/>
        </w:rPr>
      </w:pPr>
      <w:bookmarkStart w:id="0" w:name="US_ZaVeVeci"/>
      <w:bookmarkEnd w:id="0"/>
    </w:p>
    <w:p w14:paraId="2E715EA9" w14:textId="77777777" w:rsidR="00367C9B" w:rsidRPr="009D0AB3" w:rsidRDefault="00367C9B" w:rsidP="00D67798">
      <w:pPr>
        <w:pStyle w:val="KUJKPolozka"/>
        <w:spacing w:line="240" w:lineRule="auto"/>
      </w:pPr>
      <w:r>
        <w:t>Zastupitelstvo</w:t>
      </w:r>
      <w:r w:rsidRPr="009D0AB3">
        <w:t xml:space="preserve"> Jihočeského kraje</w:t>
      </w:r>
    </w:p>
    <w:p w14:paraId="4E49424D" w14:textId="77777777" w:rsidR="00367C9B" w:rsidRPr="00E10FE7" w:rsidRDefault="00367C9B" w:rsidP="00CD16D5">
      <w:pPr>
        <w:pStyle w:val="KUJKdoplnek2"/>
        <w:spacing w:line="240" w:lineRule="auto"/>
        <w:ind w:left="142" w:hanging="142"/>
      </w:pPr>
      <w:r w:rsidRPr="00AF7BAE">
        <w:t>schvaluje</w:t>
      </w:r>
    </w:p>
    <w:p w14:paraId="6B8153B2" w14:textId="77777777" w:rsidR="00367C9B" w:rsidRPr="009D2910" w:rsidRDefault="00367C9B" w:rsidP="009D2910">
      <w:pPr>
        <w:pStyle w:val="KUJKnormal"/>
        <w:rPr>
          <w:bCs/>
        </w:rPr>
      </w:pPr>
      <w:r w:rsidRPr="009D2910">
        <w:rPr>
          <w:bCs/>
        </w:rPr>
        <w:t>v souladu s § 35 odst. 2 písm. p) a §§ 47 a 48 zákona č. 129/2000 Sb., o krajích, ve znění pozdějších předpisů:</w:t>
      </w:r>
    </w:p>
    <w:p w14:paraId="5B74B7B1" w14:textId="77777777" w:rsidR="00367C9B" w:rsidRPr="009D2910" w:rsidRDefault="00367C9B" w:rsidP="009D2910">
      <w:pPr>
        <w:pStyle w:val="KUJKnormal"/>
        <w:tabs>
          <w:tab w:val="left" w:pos="284"/>
        </w:tabs>
        <w:rPr>
          <w:bCs/>
        </w:rPr>
      </w:pPr>
      <w:r w:rsidRPr="009D2910">
        <w:rPr>
          <w:bCs/>
        </w:rPr>
        <w:t>1.</w:t>
      </w:r>
      <w:r w:rsidRPr="009D2910">
        <w:rPr>
          <w:bCs/>
        </w:rPr>
        <w:tab/>
        <w:t xml:space="preserve">výši měsíční odměny členům zastupitelstva neuvolněným pro výkon funkce od 1. 1. 2026 takto: </w:t>
      </w:r>
    </w:p>
    <w:p w14:paraId="27B7EE06" w14:textId="77777777" w:rsidR="00367C9B" w:rsidRPr="009D2910" w:rsidRDefault="00367C9B" w:rsidP="009D2910">
      <w:pPr>
        <w:pStyle w:val="KUJKnormal"/>
        <w:tabs>
          <w:tab w:val="right" w:pos="4820"/>
        </w:tabs>
        <w:rPr>
          <w:bCs/>
        </w:rPr>
      </w:pPr>
      <w:r w:rsidRPr="009D2910">
        <w:rPr>
          <w:bCs/>
        </w:rPr>
        <w:t>člen rady</w:t>
      </w:r>
      <w:r w:rsidRPr="009D2910">
        <w:rPr>
          <w:bCs/>
        </w:rPr>
        <w:tab/>
        <w:t>21 660 Kč</w:t>
      </w:r>
    </w:p>
    <w:p w14:paraId="56332529" w14:textId="77777777" w:rsidR="00367C9B" w:rsidRPr="009D2910" w:rsidRDefault="00367C9B" w:rsidP="009D2910">
      <w:pPr>
        <w:pStyle w:val="KUJKnormal"/>
        <w:tabs>
          <w:tab w:val="right" w:pos="4820"/>
        </w:tabs>
        <w:rPr>
          <w:bCs/>
        </w:rPr>
      </w:pPr>
      <w:r w:rsidRPr="009D2910">
        <w:rPr>
          <w:bCs/>
        </w:rPr>
        <w:t>předseda výboru či komise</w:t>
      </w:r>
      <w:r w:rsidRPr="009D2910">
        <w:rPr>
          <w:bCs/>
        </w:rPr>
        <w:tab/>
        <w:t>12 660 Kč</w:t>
      </w:r>
    </w:p>
    <w:p w14:paraId="03256C97" w14:textId="77777777" w:rsidR="00367C9B" w:rsidRPr="009D2910" w:rsidRDefault="00367C9B" w:rsidP="009D2910">
      <w:pPr>
        <w:pStyle w:val="KUJKnormal"/>
        <w:tabs>
          <w:tab w:val="right" w:pos="4820"/>
        </w:tabs>
        <w:rPr>
          <w:bCs/>
        </w:rPr>
      </w:pPr>
      <w:r w:rsidRPr="009D2910">
        <w:rPr>
          <w:bCs/>
        </w:rPr>
        <w:t>člen výboru či komise</w:t>
      </w:r>
      <w:r w:rsidRPr="009D2910">
        <w:rPr>
          <w:bCs/>
        </w:rPr>
        <w:tab/>
        <w:t>10 830 Kč</w:t>
      </w:r>
    </w:p>
    <w:p w14:paraId="4DC39666" w14:textId="77777777" w:rsidR="00367C9B" w:rsidRPr="009D2910" w:rsidRDefault="00367C9B" w:rsidP="009D2910">
      <w:pPr>
        <w:pStyle w:val="KUJKnormal"/>
        <w:tabs>
          <w:tab w:val="right" w:pos="4820"/>
        </w:tabs>
        <w:rPr>
          <w:bCs/>
        </w:rPr>
      </w:pPr>
      <w:r w:rsidRPr="009D2910">
        <w:rPr>
          <w:bCs/>
        </w:rPr>
        <w:t xml:space="preserve">člen zastupitelstva bez dalších funkcí  </w:t>
      </w:r>
      <w:r>
        <w:rPr>
          <w:bCs/>
        </w:rPr>
        <w:tab/>
      </w:r>
      <w:r w:rsidRPr="009D2910">
        <w:rPr>
          <w:bCs/>
        </w:rPr>
        <w:t>9 050 Kč.</w:t>
      </w:r>
    </w:p>
    <w:p w14:paraId="636DB413" w14:textId="77777777" w:rsidR="00367C9B" w:rsidRPr="009D2910" w:rsidRDefault="00367C9B" w:rsidP="009D2910">
      <w:pPr>
        <w:pStyle w:val="KUJKnormal"/>
        <w:rPr>
          <w:bCs/>
        </w:rPr>
      </w:pPr>
      <w:r w:rsidRPr="009D2910">
        <w:rPr>
          <w:bCs/>
        </w:rPr>
        <w:t xml:space="preserve">V případě souběhu výkonu více funkcí se odměna za měsíc poskytuje až do výše souhrnu odměn maximálně za tři souběžně vykonávané funkce, a to s nejvyšší odměnou schválenou zastupitelstvem; </w:t>
      </w:r>
    </w:p>
    <w:p w14:paraId="02A238C3" w14:textId="77777777" w:rsidR="00367C9B" w:rsidRDefault="00367C9B" w:rsidP="009D2910">
      <w:pPr>
        <w:pStyle w:val="KUJKnormal"/>
        <w:tabs>
          <w:tab w:val="left" w:pos="284"/>
        </w:tabs>
      </w:pPr>
      <w:r w:rsidRPr="009D2910">
        <w:t>2.</w:t>
      </w:r>
      <w:r w:rsidRPr="009D2910">
        <w:rPr>
          <w:b/>
          <w:bCs/>
        </w:rPr>
        <w:tab/>
      </w:r>
      <w:r w:rsidRPr="009D2910">
        <w:t>poskytování měsíční odměny neuvolněnému členu zastupitelstva ode dne složení slibu, volby či jmenování neuvolněného člena zastupitelstva do funkce orgánem kraje, pokud není usnesením stanoveno jinak;</w:t>
      </w:r>
    </w:p>
    <w:p w14:paraId="24684DFC" w14:textId="77777777" w:rsidR="00367C9B" w:rsidRDefault="00367C9B" w:rsidP="009D2910">
      <w:pPr>
        <w:pStyle w:val="KUJKdoplnek2"/>
        <w:spacing w:line="240" w:lineRule="auto"/>
        <w:ind w:left="284" w:hanging="284"/>
      </w:pPr>
      <w:r w:rsidRPr="0021676C">
        <w:t>ukládá</w:t>
      </w:r>
    </w:p>
    <w:p w14:paraId="5084786B" w14:textId="77777777" w:rsidR="00367C9B" w:rsidRPr="009D2910" w:rsidRDefault="00367C9B" w:rsidP="009D2910">
      <w:pPr>
        <w:pStyle w:val="KUJKnormal"/>
      </w:pPr>
      <w:r>
        <w:t>JUDr. Lukáši Glaserovi, LL.M., řediteli krajského úřadu, zajistit realizaci usnesení.</w:t>
      </w:r>
    </w:p>
    <w:p w14:paraId="050C7060" w14:textId="77777777" w:rsidR="00367C9B" w:rsidRDefault="00367C9B" w:rsidP="00D67798">
      <w:pPr>
        <w:pStyle w:val="KUJKnormal"/>
      </w:pPr>
    </w:p>
    <w:p w14:paraId="493FBBA3" w14:textId="77777777" w:rsidR="00367C9B" w:rsidRDefault="00367C9B" w:rsidP="009D2910">
      <w:pPr>
        <w:pStyle w:val="KUJKmezeraDZ"/>
      </w:pPr>
      <w:bookmarkStart w:id="1" w:name="US_DuvodZprava"/>
      <w:bookmarkEnd w:id="1"/>
    </w:p>
    <w:p w14:paraId="2D0E2EDD" w14:textId="77777777" w:rsidR="00367C9B" w:rsidRDefault="00367C9B" w:rsidP="009D2910">
      <w:pPr>
        <w:pStyle w:val="KUJKnadpisDZ"/>
      </w:pPr>
      <w:r>
        <w:t>DŮVODOVÁ ZPRÁVA</w:t>
      </w:r>
    </w:p>
    <w:p w14:paraId="1428952D" w14:textId="77777777" w:rsidR="00367C9B" w:rsidRPr="009B7B0B" w:rsidRDefault="00367C9B" w:rsidP="009D2910">
      <w:pPr>
        <w:pStyle w:val="KUJKmezeraDZ"/>
      </w:pPr>
    </w:p>
    <w:p w14:paraId="73EF9E5C" w14:textId="77777777" w:rsidR="00367C9B" w:rsidRPr="00956171" w:rsidRDefault="00367C9B" w:rsidP="00956171">
      <w:pPr>
        <w:pStyle w:val="KUJKnormal"/>
      </w:pPr>
      <w:r w:rsidRPr="00956171">
        <w:t>Přijetím novely zákona o krajích se zákon změnil ve věci odměňování uvolněných a neuvolněných členů zastupitelstva kraje od 1. 1. 2024 (i v dalších oblastech). Od roku 2024 se odměny uvolněných zastupitelů a maximální odměny neuvolněných zastupitelů valorizují automaticky.</w:t>
      </w:r>
    </w:p>
    <w:p w14:paraId="4A9B2668" w14:textId="77777777" w:rsidR="00367C9B" w:rsidRPr="00956171" w:rsidRDefault="00367C9B" w:rsidP="00956171">
      <w:pPr>
        <w:pStyle w:val="KUJKnormal"/>
      </w:pPr>
    </w:p>
    <w:p w14:paraId="3D1D4EB4" w14:textId="77777777" w:rsidR="00367C9B" w:rsidRPr="00956171" w:rsidRDefault="00367C9B" w:rsidP="00956171">
      <w:pPr>
        <w:pStyle w:val="KUJKnormal"/>
      </w:pPr>
      <w:r w:rsidRPr="00956171">
        <w:t>Výše odměn se stanovuje na základě průměrné hrubé měsíční nominální mzdy na přepočtené počty zaměstnanců v národním hospodářství za první pololetí přechozího roku (zveřejněné ve Sbírce zákonů) a daného koeficientu dle zákona č. 129/2000 Sb., o krajích (viz příloha k zákonu).</w:t>
      </w:r>
    </w:p>
    <w:p w14:paraId="286130F3" w14:textId="77777777" w:rsidR="00367C9B" w:rsidRPr="00956171" w:rsidRDefault="00367C9B" w:rsidP="00956171">
      <w:pPr>
        <w:pStyle w:val="KUJKnormal"/>
      </w:pPr>
    </w:p>
    <w:p w14:paraId="339FA0C9" w14:textId="77777777" w:rsidR="00367C9B" w:rsidRDefault="00367C9B" w:rsidP="00956171">
      <w:pPr>
        <w:pStyle w:val="KUJKnormal"/>
      </w:pPr>
      <w:r w:rsidRPr="00956171">
        <w:t>Průměrná přepočtená nominální mzda za I. pololetí 2025 je dle Českého statistického úřadu ve výši 48</w:t>
      </w:r>
      <w:r>
        <w:t> </w:t>
      </w:r>
      <w:r w:rsidRPr="00956171">
        <w:t>147 Kč (vyhlášeno ve Sbírce zákonů a mezinárodních smluv ČR sdělením č. 406 Ministerstva vnitra ze dne 13. 10. 2025)</w:t>
      </w:r>
      <w:r>
        <w:t>.</w:t>
      </w:r>
    </w:p>
    <w:p w14:paraId="0DE815F1" w14:textId="77777777" w:rsidR="00367C9B" w:rsidRDefault="00367C9B" w:rsidP="00956171">
      <w:pPr>
        <w:pStyle w:val="KUJKnormal"/>
      </w:pPr>
    </w:p>
    <w:p w14:paraId="1B9E66A4" w14:textId="77777777" w:rsidR="00367C9B" w:rsidRPr="00956171" w:rsidRDefault="00367C9B" w:rsidP="00956171">
      <w:pPr>
        <w:pStyle w:val="KUJKnormal"/>
        <w:rPr>
          <w:i/>
          <w:iCs/>
        </w:rPr>
      </w:pPr>
      <w:r w:rsidRPr="00956171">
        <w:rPr>
          <w:i/>
          <w:iCs/>
        </w:rPr>
        <w:t>Podle § 35 odst. 2 písm. p) zákona č. 129/2000 Sb., o krajích, v aktualizovaném znění, je zastupitelstvu vyhrazeno stanovit výši odměn neuvolněným členům zastupitelstva za měsíc.</w:t>
      </w:r>
    </w:p>
    <w:p w14:paraId="26D45BE0" w14:textId="77777777" w:rsidR="00367C9B" w:rsidRPr="00956171" w:rsidRDefault="00367C9B" w:rsidP="00956171">
      <w:pPr>
        <w:pStyle w:val="KUJKnormal"/>
        <w:rPr>
          <w:i/>
          <w:iCs/>
        </w:rPr>
      </w:pPr>
    </w:p>
    <w:p w14:paraId="3BD55FFD" w14:textId="77777777" w:rsidR="00367C9B" w:rsidRPr="00956171" w:rsidRDefault="00367C9B" w:rsidP="00956171">
      <w:pPr>
        <w:pStyle w:val="KUJKnormal"/>
        <w:rPr>
          <w:i/>
          <w:iCs/>
        </w:rPr>
      </w:pPr>
      <w:r w:rsidRPr="00956171">
        <w:rPr>
          <w:i/>
          <w:iCs/>
        </w:rPr>
        <w:t xml:space="preserve">Podle § 47 odst. 2 neuvolněnému členovi zastupitelstva může kraj poskytnout odměnu za výkon funkce až do maximální výše podle § 48 odst. 2. V takovém případě se odměna poskytuje ode dne stanoveného zastupitelstvem, nejdříve však ode dne přijetí usnesení zastupitelstva, kterým odměnu stanovilo.  </w:t>
      </w:r>
    </w:p>
    <w:p w14:paraId="03D04EEC" w14:textId="77777777" w:rsidR="00367C9B" w:rsidRPr="00956171" w:rsidRDefault="00367C9B" w:rsidP="00956171">
      <w:pPr>
        <w:pStyle w:val="KUJKnormal"/>
        <w:rPr>
          <w:i/>
          <w:iCs/>
        </w:rPr>
      </w:pPr>
    </w:p>
    <w:p w14:paraId="69705753" w14:textId="77777777" w:rsidR="00367C9B" w:rsidRDefault="00367C9B" w:rsidP="00956171">
      <w:pPr>
        <w:pStyle w:val="KUJKnormal"/>
        <w:rPr>
          <w:i/>
          <w:iCs/>
        </w:rPr>
      </w:pPr>
      <w:r w:rsidRPr="00956171">
        <w:rPr>
          <w:i/>
          <w:iCs/>
        </w:rPr>
        <w:t>Pokud neuvolněný člen zastupitelstva vykonává souběžně více funkcí, lze mu poskytovat podle § 49 zákona o krajích souhrnnou odměnu, avšak maximálně jen za 3 souběžně vykonávané tyto funkce: člena rady, předsedy nebo člena výboru zastupitelstva, předsedy nebo člena komise rady anebo předsedy nebo člena zvláštního orgánu. Odměna za členství v zastupitelstvu bez dalších funkcí se nepřičítá. Pokud zastupitelstvo o poskytování souhrnné odměny výslovně nerozhodne, neuvolněným členům zastupitelstva se bude poskytovat jen jedna odměna, a to odměna za funkci, za níž zastupitelstvo stanovilo odměnu nejvyšší.</w:t>
      </w:r>
    </w:p>
    <w:p w14:paraId="15D2EFB6" w14:textId="77777777" w:rsidR="00367C9B" w:rsidRDefault="00367C9B" w:rsidP="00956171">
      <w:pPr>
        <w:pStyle w:val="KUJKnormal"/>
        <w:rPr>
          <w:i/>
          <w:iCs/>
        </w:rPr>
      </w:pPr>
    </w:p>
    <w:p w14:paraId="5842C373" w14:textId="77777777" w:rsidR="00367C9B" w:rsidRDefault="00367C9B" w:rsidP="00956171">
      <w:pPr>
        <w:pStyle w:val="KUJKnormal"/>
        <w:rPr>
          <w:i/>
          <w:iCs/>
        </w:rPr>
      </w:pPr>
    </w:p>
    <w:p w14:paraId="145104AC" w14:textId="77777777" w:rsidR="00367C9B" w:rsidRPr="00956171" w:rsidRDefault="00367C9B" w:rsidP="00956171">
      <w:pPr>
        <w:pStyle w:val="KUJKnormal"/>
      </w:pPr>
      <w:r w:rsidRPr="00956171">
        <w:t xml:space="preserve">Od 1. 1. 2026 nabývá účinnosti novela v oblasti odměňování členů zastupitelstev, která se věcně týká zejména krácení výše odměn v případě současného výkonu funkcí na více samosprávných celcích. </w:t>
      </w:r>
    </w:p>
    <w:p w14:paraId="032CF190" w14:textId="77777777" w:rsidR="00367C9B" w:rsidRPr="00956171" w:rsidRDefault="00367C9B" w:rsidP="00956171">
      <w:pPr>
        <w:pStyle w:val="KUJKnormal"/>
        <w:rPr>
          <w:i/>
          <w:iCs/>
        </w:rPr>
      </w:pPr>
      <w:r w:rsidRPr="00956171">
        <w:t>1. V § 47 zákona o krajích (krajské zřízení) se na konci odst. 1 doplňují věty</w:t>
      </w:r>
      <w:r w:rsidRPr="00956171">
        <w:rPr>
          <w:i/>
          <w:iCs/>
        </w:rPr>
        <w:t xml:space="preserve"> „Je-li uvolněný člen zastupitelstva kraje zároveň členem zastupitelstva obce nebo hlavního města Prahy podle jiného právního předpisu, poskytne mu odměnu v plné výši pouze ten samosprávný celek, který by mu jako členovi zastupitelstva poskytoval odměnu vyšší. Druhý z obou samosprávných celků, jehož zastupitelstva je členem, mu poskytne odměnu ve výši 0,4násobku výše odměny, kterou by mu jinak jako členovi zastupitelstva poskytoval.“.</w:t>
      </w:r>
    </w:p>
    <w:p w14:paraId="6E3BC1D4" w14:textId="77777777" w:rsidR="00367C9B" w:rsidRPr="00956171" w:rsidRDefault="00367C9B" w:rsidP="00956171">
      <w:pPr>
        <w:pStyle w:val="KUJKnormal"/>
        <w:rPr>
          <w:i/>
          <w:iCs/>
        </w:rPr>
      </w:pPr>
      <w:r w:rsidRPr="00956171">
        <w:t>2. V § 47 zákona o krajích (krajské zřízení) se na konci odst. 2 doplňují věty</w:t>
      </w:r>
      <w:r w:rsidRPr="00956171">
        <w:rPr>
          <w:i/>
          <w:iCs/>
        </w:rPr>
        <w:t xml:space="preserve"> „Je-li neuvolněný člen zastupitelstva kraje, který vykonává funkci hejtmana nebo náměstka hejtmana, zároveň členem zastupitelstva obce nebo hlavního města Prahy podle jiného právního předpisu, poskytne mu odměnu v plné výši pouze ten samosprávný celek, který by mu jako členovi zastupitelstva poskytoval odměnu vyšší. Druhý z obou samosprávných celků, jehož zastupitelstva je členem, mu poskytne odměnu ve výši 0,4násobku výše odměny, kterou by mu jinak jako členovi zastupitelstva poskytoval. Neuvolněnému členovi zastupitelstva kraje vykonávajícímu funkci hejtmana nebo náměstka hejtmana, který je zároveň poslancem, senátorem nebo členem vlády, může kraj poskytovat odměnu nejvýše ve výši 0,4násobku výše odměny, která by mu jinak jako neuvolněnému členovi zastupitelstva kraje při výkonu těchto funkcí náležela.“.</w:t>
      </w:r>
    </w:p>
    <w:p w14:paraId="0587DBC8" w14:textId="77777777" w:rsidR="00367C9B" w:rsidRPr="00956171" w:rsidRDefault="00367C9B" w:rsidP="00956171">
      <w:pPr>
        <w:pStyle w:val="KUJKnormal"/>
      </w:pPr>
    </w:p>
    <w:p w14:paraId="48073224" w14:textId="77777777" w:rsidR="00367C9B" w:rsidRDefault="00367C9B" w:rsidP="00956171">
      <w:pPr>
        <w:pStyle w:val="KUJKnormal"/>
        <w:jc w:val="center"/>
      </w:pPr>
    </w:p>
    <w:p w14:paraId="571B688B" w14:textId="77777777" w:rsidR="00367C9B" w:rsidRDefault="00367C9B" w:rsidP="00956171">
      <w:pPr>
        <w:pStyle w:val="KUJKnormal"/>
        <w:jc w:val="center"/>
      </w:pPr>
    </w:p>
    <w:p w14:paraId="518671B0" w14:textId="77777777" w:rsidR="00367C9B" w:rsidRDefault="00367C9B" w:rsidP="00956171">
      <w:pPr>
        <w:pStyle w:val="KUJKnormal"/>
        <w:jc w:val="center"/>
      </w:pPr>
    </w:p>
    <w:p w14:paraId="2DC45AEF" w14:textId="77777777" w:rsidR="00367C9B" w:rsidRDefault="00367C9B" w:rsidP="00956171">
      <w:pPr>
        <w:pStyle w:val="KUJKnormal"/>
        <w:jc w:val="center"/>
      </w:pPr>
    </w:p>
    <w:p w14:paraId="60E14F2D" w14:textId="77777777" w:rsidR="00367C9B" w:rsidRDefault="00367C9B" w:rsidP="00956171">
      <w:pPr>
        <w:pStyle w:val="KUJKnormal"/>
        <w:jc w:val="center"/>
      </w:pPr>
    </w:p>
    <w:p w14:paraId="3EA74EB5" w14:textId="77777777" w:rsidR="00367C9B" w:rsidRDefault="00367C9B" w:rsidP="00956171">
      <w:pPr>
        <w:pStyle w:val="KUJKnormal"/>
        <w:jc w:val="center"/>
      </w:pPr>
    </w:p>
    <w:p w14:paraId="33835C08" w14:textId="77777777" w:rsidR="00367C9B" w:rsidRDefault="00367C9B" w:rsidP="00956171">
      <w:pPr>
        <w:pStyle w:val="KUJKnormal"/>
        <w:jc w:val="center"/>
      </w:pPr>
    </w:p>
    <w:p w14:paraId="516E766C" w14:textId="77777777" w:rsidR="00367C9B" w:rsidRDefault="00367C9B" w:rsidP="00956171">
      <w:pPr>
        <w:pStyle w:val="KUJKnormal"/>
        <w:jc w:val="center"/>
      </w:pPr>
    </w:p>
    <w:p w14:paraId="15C1ED12" w14:textId="77777777" w:rsidR="00367C9B" w:rsidRDefault="00367C9B" w:rsidP="00956171">
      <w:pPr>
        <w:pStyle w:val="KUJKnormal"/>
        <w:jc w:val="center"/>
      </w:pPr>
    </w:p>
    <w:p w14:paraId="4BB08B3A" w14:textId="77777777" w:rsidR="00367C9B" w:rsidRDefault="00367C9B" w:rsidP="00956171">
      <w:pPr>
        <w:pStyle w:val="KUJKnormal"/>
        <w:jc w:val="center"/>
      </w:pPr>
    </w:p>
    <w:p w14:paraId="4EDA190B" w14:textId="77777777" w:rsidR="00367C9B" w:rsidRDefault="00367C9B" w:rsidP="00956171">
      <w:pPr>
        <w:pStyle w:val="KUJKnormal"/>
        <w:jc w:val="center"/>
      </w:pPr>
    </w:p>
    <w:p w14:paraId="1FFFA732" w14:textId="77777777" w:rsidR="00367C9B" w:rsidRDefault="00367C9B" w:rsidP="00956171">
      <w:pPr>
        <w:pStyle w:val="KUJKnormal"/>
        <w:jc w:val="center"/>
      </w:pPr>
    </w:p>
    <w:p w14:paraId="2DBDE7BB" w14:textId="77777777" w:rsidR="00367C9B" w:rsidRPr="00956171" w:rsidRDefault="00367C9B" w:rsidP="00956171">
      <w:pPr>
        <w:pStyle w:val="KUJKnormal"/>
        <w:jc w:val="center"/>
      </w:pPr>
      <w:r w:rsidRPr="00956171">
        <w:t>Příloha k zákonu č. 129/2000 Sb., o krajích</w:t>
      </w:r>
    </w:p>
    <w:p w14:paraId="696FBE1C" w14:textId="77777777" w:rsidR="00367C9B" w:rsidRPr="00956171" w:rsidRDefault="00367C9B" w:rsidP="00956171">
      <w:pPr>
        <w:pStyle w:val="KUJKnormal"/>
        <w:jc w:val="center"/>
        <w:rPr>
          <w:b/>
          <w:bCs/>
          <w:sz w:val="22"/>
          <w:szCs w:val="22"/>
        </w:rPr>
      </w:pPr>
      <w:r w:rsidRPr="00956171">
        <w:rPr>
          <w:b/>
          <w:bCs/>
          <w:sz w:val="22"/>
          <w:szCs w:val="22"/>
        </w:rPr>
        <w:t>Koeficienty pro stanovení výše odměn členů zastupitelstev krajů</w:t>
      </w:r>
    </w:p>
    <w:tbl>
      <w:tblPr>
        <w:tblW w:w="3000" w:type="pct"/>
        <w:jc w:val="center"/>
        <w:tblLayout w:type="fixed"/>
        <w:tblCellMar>
          <w:left w:w="70" w:type="dxa"/>
          <w:right w:w="70" w:type="dxa"/>
        </w:tblCellMar>
        <w:tblLook w:val="04A0" w:firstRow="1" w:lastRow="0" w:firstColumn="1" w:lastColumn="0" w:noHBand="0" w:noVBand="1"/>
      </w:tblPr>
      <w:tblGrid>
        <w:gridCol w:w="539"/>
        <w:gridCol w:w="184"/>
        <w:gridCol w:w="864"/>
        <w:gridCol w:w="1070"/>
        <w:gridCol w:w="1070"/>
        <w:gridCol w:w="1070"/>
        <w:gridCol w:w="1070"/>
      </w:tblGrid>
      <w:tr w:rsidR="00367C9B" w:rsidRPr="001A552C" w14:paraId="6BC32590" w14:textId="77777777" w:rsidTr="001A552C">
        <w:trPr>
          <w:trHeight w:val="317"/>
          <w:jc w:val="center"/>
        </w:trPr>
        <w:tc>
          <w:tcPr>
            <w:tcW w:w="611" w:type="dxa"/>
            <w:tcBorders>
              <w:top w:val="nil"/>
              <w:left w:val="nil"/>
              <w:bottom w:val="single" w:sz="8" w:space="0" w:color="auto"/>
              <w:right w:val="nil"/>
            </w:tcBorders>
            <w:noWrap/>
            <w:vAlign w:val="bottom"/>
            <w:hideMark/>
          </w:tcPr>
          <w:p w14:paraId="7EDD1574" w14:textId="77777777" w:rsidR="00367C9B" w:rsidRPr="001A552C" w:rsidRDefault="00367C9B" w:rsidP="001A552C">
            <w:pPr>
              <w:pStyle w:val="KUJKnormal"/>
            </w:pPr>
            <w:r w:rsidRPr="001A552C">
              <w:t> </w:t>
            </w:r>
          </w:p>
        </w:tc>
        <w:tc>
          <w:tcPr>
            <w:tcW w:w="189" w:type="dxa"/>
            <w:tcBorders>
              <w:top w:val="nil"/>
              <w:left w:val="nil"/>
              <w:bottom w:val="single" w:sz="8" w:space="0" w:color="auto"/>
              <w:right w:val="nil"/>
            </w:tcBorders>
            <w:noWrap/>
            <w:vAlign w:val="bottom"/>
            <w:hideMark/>
          </w:tcPr>
          <w:p w14:paraId="028D08D1" w14:textId="77777777" w:rsidR="00367C9B" w:rsidRPr="001A552C" w:rsidRDefault="00367C9B" w:rsidP="001A552C">
            <w:pPr>
              <w:pStyle w:val="KUJKnormal"/>
            </w:pPr>
            <w:r w:rsidRPr="001A552C">
              <w:t> </w:t>
            </w:r>
          </w:p>
        </w:tc>
        <w:tc>
          <w:tcPr>
            <w:tcW w:w="1001" w:type="dxa"/>
            <w:tcBorders>
              <w:top w:val="nil"/>
              <w:left w:val="nil"/>
              <w:bottom w:val="single" w:sz="8" w:space="0" w:color="auto"/>
              <w:right w:val="nil"/>
            </w:tcBorders>
            <w:noWrap/>
            <w:vAlign w:val="bottom"/>
            <w:hideMark/>
          </w:tcPr>
          <w:p w14:paraId="7797EF32" w14:textId="77777777" w:rsidR="00367C9B" w:rsidRPr="001A552C" w:rsidRDefault="00367C9B" w:rsidP="001A552C">
            <w:pPr>
              <w:pStyle w:val="KUJKnormal"/>
            </w:pPr>
            <w:r w:rsidRPr="001A552C">
              <w:t> </w:t>
            </w:r>
          </w:p>
        </w:tc>
        <w:tc>
          <w:tcPr>
            <w:tcW w:w="1247" w:type="dxa"/>
            <w:tcBorders>
              <w:top w:val="nil"/>
              <w:left w:val="nil"/>
              <w:bottom w:val="single" w:sz="8" w:space="0" w:color="auto"/>
              <w:right w:val="nil"/>
            </w:tcBorders>
            <w:noWrap/>
            <w:vAlign w:val="bottom"/>
            <w:hideMark/>
          </w:tcPr>
          <w:p w14:paraId="1AC056FE" w14:textId="77777777" w:rsidR="00367C9B" w:rsidRPr="001A552C" w:rsidRDefault="00367C9B" w:rsidP="001A552C">
            <w:pPr>
              <w:pStyle w:val="KUJKnormal"/>
            </w:pPr>
            <w:r w:rsidRPr="001A552C">
              <w:t> </w:t>
            </w:r>
          </w:p>
        </w:tc>
        <w:tc>
          <w:tcPr>
            <w:tcW w:w="1247" w:type="dxa"/>
            <w:tcBorders>
              <w:top w:val="nil"/>
              <w:left w:val="nil"/>
              <w:bottom w:val="single" w:sz="8" w:space="0" w:color="auto"/>
              <w:right w:val="nil"/>
            </w:tcBorders>
            <w:noWrap/>
            <w:vAlign w:val="bottom"/>
            <w:hideMark/>
          </w:tcPr>
          <w:p w14:paraId="5FD60232" w14:textId="77777777" w:rsidR="00367C9B" w:rsidRPr="001A552C" w:rsidRDefault="00367C9B" w:rsidP="001A552C">
            <w:pPr>
              <w:pStyle w:val="KUJKnormal"/>
            </w:pPr>
            <w:r w:rsidRPr="001A552C">
              <w:t> </w:t>
            </w:r>
          </w:p>
        </w:tc>
        <w:tc>
          <w:tcPr>
            <w:tcW w:w="1247" w:type="dxa"/>
            <w:tcBorders>
              <w:top w:val="nil"/>
              <w:left w:val="nil"/>
              <w:bottom w:val="single" w:sz="8" w:space="0" w:color="auto"/>
              <w:right w:val="nil"/>
            </w:tcBorders>
            <w:noWrap/>
            <w:vAlign w:val="bottom"/>
            <w:hideMark/>
          </w:tcPr>
          <w:p w14:paraId="301F33A6" w14:textId="77777777" w:rsidR="00367C9B" w:rsidRPr="001A552C" w:rsidRDefault="00367C9B" w:rsidP="001A552C">
            <w:pPr>
              <w:pStyle w:val="KUJKnormal"/>
            </w:pPr>
            <w:r w:rsidRPr="001A552C">
              <w:t> </w:t>
            </w:r>
          </w:p>
        </w:tc>
        <w:tc>
          <w:tcPr>
            <w:tcW w:w="1247" w:type="dxa"/>
            <w:tcBorders>
              <w:top w:val="nil"/>
              <w:left w:val="nil"/>
              <w:bottom w:val="single" w:sz="8" w:space="0" w:color="auto"/>
              <w:right w:val="nil"/>
            </w:tcBorders>
            <w:noWrap/>
            <w:vAlign w:val="bottom"/>
            <w:hideMark/>
          </w:tcPr>
          <w:p w14:paraId="380D27F8" w14:textId="77777777" w:rsidR="00367C9B" w:rsidRPr="001A552C" w:rsidRDefault="00367C9B" w:rsidP="001A552C">
            <w:pPr>
              <w:pStyle w:val="KUJKnormal"/>
            </w:pPr>
            <w:r w:rsidRPr="001A552C">
              <w:t> </w:t>
            </w:r>
          </w:p>
        </w:tc>
      </w:tr>
      <w:tr w:rsidR="00367C9B" w:rsidRPr="001A552C" w14:paraId="3655912A" w14:textId="77777777" w:rsidTr="001A552C">
        <w:trPr>
          <w:trHeight w:val="499"/>
          <w:jc w:val="center"/>
        </w:trPr>
        <w:tc>
          <w:tcPr>
            <w:tcW w:w="611" w:type="dxa"/>
            <w:vMerge w:val="restart"/>
            <w:tcBorders>
              <w:top w:val="single" w:sz="8" w:space="0" w:color="auto"/>
              <w:left w:val="single" w:sz="8" w:space="0" w:color="auto"/>
              <w:bottom w:val="single" w:sz="4" w:space="0" w:color="auto"/>
              <w:right w:val="single" w:sz="4" w:space="0" w:color="auto"/>
            </w:tcBorders>
            <w:textDirection w:val="btLr"/>
            <w:vAlign w:val="center"/>
            <w:hideMark/>
          </w:tcPr>
          <w:p w14:paraId="388508AA" w14:textId="77777777" w:rsidR="00367C9B" w:rsidRPr="001A552C" w:rsidRDefault="00367C9B" w:rsidP="001A552C">
            <w:pPr>
              <w:pStyle w:val="KUJKnormal"/>
              <w:jc w:val="center"/>
              <w:rPr>
                <w:sz w:val="18"/>
                <w:szCs w:val="18"/>
              </w:rPr>
            </w:pPr>
            <w:r w:rsidRPr="001A552C">
              <w:rPr>
                <w:sz w:val="18"/>
                <w:szCs w:val="18"/>
              </w:rPr>
              <w:t>Číslo řádku - velikostní</w:t>
            </w:r>
          </w:p>
          <w:p w14:paraId="62AA2544" w14:textId="77777777" w:rsidR="00367C9B" w:rsidRPr="001A552C" w:rsidRDefault="00367C9B" w:rsidP="001A552C">
            <w:pPr>
              <w:pStyle w:val="KUJKnormal"/>
              <w:jc w:val="center"/>
              <w:rPr>
                <w:sz w:val="18"/>
                <w:szCs w:val="18"/>
              </w:rPr>
            </w:pPr>
            <w:r w:rsidRPr="001A552C">
              <w:rPr>
                <w:sz w:val="18"/>
                <w:szCs w:val="18"/>
              </w:rPr>
              <w:t>kategorie kraje</w:t>
            </w:r>
          </w:p>
        </w:tc>
        <w:tc>
          <w:tcPr>
            <w:tcW w:w="567" w:type="dxa"/>
            <w:gridSpan w:val="2"/>
            <w:vMerge w:val="restart"/>
            <w:tcBorders>
              <w:top w:val="single" w:sz="8" w:space="0" w:color="auto"/>
              <w:left w:val="single" w:sz="4" w:space="0" w:color="auto"/>
              <w:bottom w:val="single" w:sz="4" w:space="0" w:color="auto"/>
              <w:right w:val="single" w:sz="4" w:space="0" w:color="auto"/>
            </w:tcBorders>
            <w:vAlign w:val="center"/>
            <w:hideMark/>
          </w:tcPr>
          <w:p w14:paraId="346494CB" w14:textId="77777777" w:rsidR="00367C9B" w:rsidRPr="001A552C" w:rsidRDefault="00367C9B" w:rsidP="001A552C">
            <w:pPr>
              <w:pStyle w:val="KUJKnormal"/>
              <w:rPr>
                <w:sz w:val="18"/>
                <w:szCs w:val="18"/>
              </w:rPr>
            </w:pPr>
            <w:r w:rsidRPr="001A552C">
              <w:rPr>
                <w:sz w:val="18"/>
                <w:szCs w:val="18"/>
              </w:rPr>
              <w:t>Počet obyvatel s trvalým pobytem na území kraje</w:t>
            </w:r>
          </w:p>
        </w:tc>
        <w:tc>
          <w:tcPr>
            <w:tcW w:w="1247" w:type="dxa"/>
            <w:gridSpan w:val="4"/>
            <w:tcBorders>
              <w:top w:val="single" w:sz="8" w:space="0" w:color="auto"/>
              <w:left w:val="single" w:sz="4" w:space="0" w:color="auto"/>
              <w:bottom w:val="single" w:sz="4" w:space="0" w:color="auto"/>
              <w:right w:val="single" w:sz="4" w:space="0" w:color="auto"/>
            </w:tcBorders>
            <w:vAlign w:val="center"/>
            <w:hideMark/>
          </w:tcPr>
          <w:p w14:paraId="11AD0997" w14:textId="77777777" w:rsidR="00367C9B" w:rsidRPr="001A552C" w:rsidRDefault="00367C9B" w:rsidP="001A552C">
            <w:pPr>
              <w:pStyle w:val="KUJKnormal"/>
              <w:jc w:val="center"/>
              <w:rPr>
                <w:b/>
                <w:bCs/>
              </w:rPr>
            </w:pPr>
            <w:r w:rsidRPr="001A552C">
              <w:rPr>
                <w:b/>
                <w:bCs/>
              </w:rPr>
              <w:t>Neuvolnění členové zastupitelstva</w:t>
            </w:r>
          </w:p>
        </w:tc>
      </w:tr>
      <w:tr w:rsidR="00367C9B" w:rsidRPr="001A552C" w14:paraId="543925DA" w14:textId="77777777" w:rsidTr="001A552C">
        <w:trPr>
          <w:trHeight w:val="1990"/>
          <w:jc w:val="center"/>
        </w:trPr>
        <w:tc>
          <w:tcPr>
            <w:tcW w:w="611" w:type="dxa"/>
            <w:vMerge/>
            <w:tcBorders>
              <w:top w:val="single" w:sz="8" w:space="0" w:color="auto"/>
              <w:left w:val="single" w:sz="8" w:space="0" w:color="auto"/>
              <w:bottom w:val="single" w:sz="4" w:space="0" w:color="auto"/>
              <w:right w:val="single" w:sz="4" w:space="0" w:color="auto"/>
            </w:tcBorders>
            <w:vAlign w:val="center"/>
            <w:hideMark/>
          </w:tcPr>
          <w:p w14:paraId="0BAED1A7" w14:textId="77777777" w:rsidR="00367C9B" w:rsidRPr="001A552C" w:rsidRDefault="00367C9B" w:rsidP="001A552C">
            <w:pPr>
              <w:pStyle w:val="KUJKnormal"/>
            </w:pPr>
          </w:p>
        </w:tc>
        <w:tc>
          <w:tcPr>
            <w:tcW w:w="567" w:type="dxa"/>
            <w:gridSpan w:val="2"/>
            <w:vMerge/>
            <w:tcBorders>
              <w:top w:val="single" w:sz="8" w:space="0" w:color="auto"/>
              <w:left w:val="single" w:sz="4" w:space="0" w:color="auto"/>
              <w:bottom w:val="single" w:sz="4" w:space="0" w:color="auto"/>
              <w:right w:val="single" w:sz="4" w:space="0" w:color="auto"/>
            </w:tcBorders>
            <w:vAlign w:val="center"/>
            <w:hideMark/>
          </w:tcPr>
          <w:p w14:paraId="4CAD9B88" w14:textId="77777777" w:rsidR="00367C9B" w:rsidRPr="001A552C" w:rsidRDefault="00367C9B" w:rsidP="001A552C">
            <w:pPr>
              <w:pStyle w:val="KUJKnormal"/>
            </w:pPr>
          </w:p>
        </w:tc>
        <w:tc>
          <w:tcPr>
            <w:tcW w:w="1247" w:type="dxa"/>
            <w:tcBorders>
              <w:top w:val="single" w:sz="4" w:space="0" w:color="auto"/>
              <w:left w:val="single" w:sz="4" w:space="0" w:color="auto"/>
              <w:bottom w:val="single" w:sz="4" w:space="0" w:color="auto"/>
              <w:right w:val="single" w:sz="4" w:space="0" w:color="auto"/>
            </w:tcBorders>
            <w:vAlign w:val="center"/>
          </w:tcPr>
          <w:p w14:paraId="3B347C29" w14:textId="77777777" w:rsidR="00367C9B" w:rsidRPr="001A552C" w:rsidRDefault="00367C9B" w:rsidP="001A552C">
            <w:pPr>
              <w:pStyle w:val="KUJKnormal"/>
              <w:rPr>
                <w:sz w:val="18"/>
                <w:szCs w:val="18"/>
              </w:rPr>
            </w:pPr>
            <w:r w:rsidRPr="001A552C">
              <w:rPr>
                <w:sz w:val="18"/>
                <w:szCs w:val="18"/>
              </w:rPr>
              <w:t>člen rady</w:t>
            </w:r>
          </w:p>
          <w:p w14:paraId="678BFCDF" w14:textId="77777777" w:rsidR="00367C9B" w:rsidRPr="001A552C" w:rsidRDefault="00367C9B" w:rsidP="001A552C">
            <w:pPr>
              <w:pStyle w:val="KUJKnormal"/>
              <w:rPr>
                <w:sz w:val="18"/>
                <w:szCs w:val="18"/>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0070D7E6" w14:textId="77777777" w:rsidR="00367C9B" w:rsidRPr="001A552C" w:rsidRDefault="00367C9B" w:rsidP="001A552C">
            <w:pPr>
              <w:pStyle w:val="KUJKnormal"/>
              <w:rPr>
                <w:sz w:val="18"/>
                <w:szCs w:val="18"/>
              </w:rPr>
            </w:pPr>
            <w:r w:rsidRPr="001A552C">
              <w:rPr>
                <w:sz w:val="18"/>
                <w:szCs w:val="18"/>
              </w:rPr>
              <w:t>předseda</w:t>
            </w:r>
          </w:p>
          <w:p w14:paraId="041740B7" w14:textId="77777777" w:rsidR="00367C9B" w:rsidRPr="001A552C" w:rsidRDefault="00367C9B" w:rsidP="001A552C">
            <w:pPr>
              <w:pStyle w:val="KUJKnormal"/>
              <w:rPr>
                <w:sz w:val="18"/>
                <w:szCs w:val="18"/>
              </w:rPr>
            </w:pPr>
            <w:r w:rsidRPr="001A552C">
              <w:rPr>
                <w:sz w:val="18"/>
                <w:szCs w:val="18"/>
              </w:rPr>
              <w:t>výboru</w:t>
            </w:r>
          </w:p>
          <w:p w14:paraId="0B1A5BC4" w14:textId="77777777" w:rsidR="00367C9B" w:rsidRPr="001A552C" w:rsidRDefault="00367C9B" w:rsidP="001A552C">
            <w:pPr>
              <w:pStyle w:val="KUJKnormal"/>
              <w:rPr>
                <w:sz w:val="18"/>
                <w:szCs w:val="18"/>
              </w:rPr>
            </w:pPr>
            <w:r w:rsidRPr="001A552C">
              <w:rPr>
                <w:sz w:val="18"/>
                <w:szCs w:val="18"/>
              </w:rPr>
              <w:t>zastup.,</w:t>
            </w:r>
          </w:p>
          <w:p w14:paraId="0D3F1E6B" w14:textId="77777777" w:rsidR="00367C9B" w:rsidRPr="001A552C" w:rsidRDefault="00367C9B" w:rsidP="001A552C">
            <w:pPr>
              <w:pStyle w:val="KUJKnormal"/>
              <w:rPr>
                <w:sz w:val="18"/>
                <w:szCs w:val="18"/>
              </w:rPr>
            </w:pPr>
            <w:r w:rsidRPr="001A552C">
              <w:rPr>
                <w:sz w:val="18"/>
                <w:szCs w:val="18"/>
              </w:rPr>
              <w:t>komise rady,</w:t>
            </w:r>
          </w:p>
          <w:p w14:paraId="497EA985" w14:textId="77777777" w:rsidR="00367C9B" w:rsidRPr="001A552C" w:rsidRDefault="00367C9B" w:rsidP="001A552C">
            <w:pPr>
              <w:pStyle w:val="KUJKnormal"/>
              <w:rPr>
                <w:sz w:val="18"/>
                <w:szCs w:val="18"/>
              </w:rPr>
            </w:pPr>
            <w:r w:rsidRPr="001A552C">
              <w:rPr>
                <w:sz w:val="18"/>
                <w:szCs w:val="18"/>
              </w:rPr>
              <w:t>zvláštního</w:t>
            </w:r>
          </w:p>
          <w:p w14:paraId="1B3A3DA0" w14:textId="77777777" w:rsidR="00367C9B" w:rsidRPr="001A552C" w:rsidRDefault="00367C9B" w:rsidP="001A552C">
            <w:pPr>
              <w:pStyle w:val="KUJKnormal"/>
              <w:rPr>
                <w:sz w:val="18"/>
                <w:szCs w:val="18"/>
              </w:rPr>
            </w:pPr>
            <w:r w:rsidRPr="001A552C">
              <w:rPr>
                <w:sz w:val="18"/>
                <w:szCs w:val="18"/>
              </w:rPr>
              <w:t>orgánu</w:t>
            </w:r>
          </w:p>
        </w:tc>
        <w:tc>
          <w:tcPr>
            <w:tcW w:w="1247" w:type="dxa"/>
            <w:tcBorders>
              <w:top w:val="single" w:sz="4" w:space="0" w:color="auto"/>
              <w:left w:val="single" w:sz="4" w:space="0" w:color="auto"/>
              <w:bottom w:val="single" w:sz="4" w:space="0" w:color="auto"/>
              <w:right w:val="single" w:sz="4" w:space="0" w:color="auto"/>
            </w:tcBorders>
            <w:noWrap/>
            <w:vAlign w:val="center"/>
            <w:hideMark/>
          </w:tcPr>
          <w:p w14:paraId="245AD4CE" w14:textId="77777777" w:rsidR="00367C9B" w:rsidRPr="001A552C" w:rsidRDefault="00367C9B" w:rsidP="001A552C">
            <w:pPr>
              <w:pStyle w:val="KUJKnormal"/>
              <w:rPr>
                <w:sz w:val="18"/>
                <w:szCs w:val="18"/>
              </w:rPr>
            </w:pPr>
            <w:r w:rsidRPr="001A552C">
              <w:rPr>
                <w:sz w:val="18"/>
                <w:szCs w:val="18"/>
              </w:rPr>
              <w:t>člen</w:t>
            </w:r>
          </w:p>
          <w:p w14:paraId="4BA2A6B8" w14:textId="77777777" w:rsidR="00367C9B" w:rsidRPr="001A552C" w:rsidRDefault="00367C9B" w:rsidP="001A552C">
            <w:pPr>
              <w:pStyle w:val="KUJKnormal"/>
              <w:rPr>
                <w:sz w:val="18"/>
                <w:szCs w:val="18"/>
              </w:rPr>
            </w:pPr>
            <w:r w:rsidRPr="001A552C">
              <w:rPr>
                <w:sz w:val="18"/>
                <w:szCs w:val="18"/>
              </w:rPr>
              <w:t>výboru</w:t>
            </w:r>
          </w:p>
          <w:p w14:paraId="39E2D06A" w14:textId="77777777" w:rsidR="00367C9B" w:rsidRPr="001A552C" w:rsidRDefault="00367C9B" w:rsidP="001A552C">
            <w:pPr>
              <w:pStyle w:val="KUJKnormal"/>
              <w:rPr>
                <w:sz w:val="18"/>
                <w:szCs w:val="18"/>
              </w:rPr>
            </w:pPr>
            <w:r w:rsidRPr="001A552C">
              <w:rPr>
                <w:sz w:val="18"/>
                <w:szCs w:val="18"/>
              </w:rPr>
              <w:t>zastup.,</w:t>
            </w:r>
          </w:p>
          <w:p w14:paraId="4D6237BE" w14:textId="77777777" w:rsidR="00367C9B" w:rsidRPr="001A552C" w:rsidRDefault="00367C9B" w:rsidP="001A552C">
            <w:pPr>
              <w:pStyle w:val="KUJKnormal"/>
              <w:rPr>
                <w:sz w:val="18"/>
                <w:szCs w:val="18"/>
              </w:rPr>
            </w:pPr>
            <w:r w:rsidRPr="001A552C">
              <w:rPr>
                <w:sz w:val="18"/>
                <w:szCs w:val="18"/>
              </w:rPr>
              <w:t>komise rady,</w:t>
            </w:r>
          </w:p>
          <w:p w14:paraId="4C014791" w14:textId="77777777" w:rsidR="00367C9B" w:rsidRPr="001A552C" w:rsidRDefault="00367C9B" w:rsidP="001A552C">
            <w:pPr>
              <w:pStyle w:val="KUJKnormal"/>
              <w:rPr>
                <w:sz w:val="18"/>
                <w:szCs w:val="18"/>
              </w:rPr>
            </w:pPr>
            <w:r w:rsidRPr="001A552C">
              <w:rPr>
                <w:sz w:val="18"/>
                <w:szCs w:val="18"/>
              </w:rPr>
              <w:t>zvláštního</w:t>
            </w:r>
          </w:p>
          <w:p w14:paraId="682373D1" w14:textId="77777777" w:rsidR="00367C9B" w:rsidRPr="001A552C" w:rsidRDefault="00367C9B" w:rsidP="001A552C">
            <w:pPr>
              <w:pStyle w:val="KUJKnormal"/>
              <w:rPr>
                <w:sz w:val="18"/>
                <w:szCs w:val="18"/>
              </w:rPr>
            </w:pPr>
            <w:r w:rsidRPr="001A552C">
              <w:rPr>
                <w:sz w:val="18"/>
                <w:szCs w:val="18"/>
              </w:rPr>
              <w:t>orgánu</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31F1994" w14:textId="77777777" w:rsidR="00367C9B" w:rsidRPr="001A552C" w:rsidRDefault="00367C9B" w:rsidP="001A552C">
            <w:pPr>
              <w:pStyle w:val="KUJKnormal"/>
              <w:rPr>
                <w:sz w:val="18"/>
                <w:szCs w:val="18"/>
              </w:rPr>
            </w:pPr>
            <w:r w:rsidRPr="001A552C">
              <w:rPr>
                <w:sz w:val="18"/>
                <w:szCs w:val="18"/>
              </w:rPr>
              <w:t>člen</w:t>
            </w:r>
          </w:p>
          <w:p w14:paraId="4B2517E2" w14:textId="77777777" w:rsidR="00367C9B" w:rsidRPr="001A552C" w:rsidRDefault="00367C9B" w:rsidP="001A552C">
            <w:pPr>
              <w:pStyle w:val="KUJKnormal"/>
              <w:rPr>
                <w:sz w:val="18"/>
                <w:szCs w:val="18"/>
              </w:rPr>
            </w:pPr>
            <w:r w:rsidRPr="001A552C">
              <w:rPr>
                <w:sz w:val="18"/>
                <w:szCs w:val="18"/>
              </w:rPr>
              <w:t>zastup.</w:t>
            </w:r>
          </w:p>
          <w:p w14:paraId="69122020" w14:textId="77777777" w:rsidR="00367C9B" w:rsidRPr="001A552C" w:rsidRDefault="00367C9B" w:rsidP="001A552C">
            <w:pPr>
              <w:pStyle w:val="KUJKnormal"/>
              <w:rPr>
                <w:sz w:val="18"/>
                <w:szCs w:val="18"/>
              </w:rPr>
            </w:pPr>
            <w:r w:rsidRPr="001A552C">
              <w:rPr>
                <w:sz w:val="18"/>
                <w:szCs w:val="18"/>
              </w:rPr>
              <w:t>bez dalších</w:t>
            </w:r>
          </w:p>
          <w:p w14:paraId="77676275" w14:textId="77777777" w:rsidR="00367C9B" w:rsidRPr="001A552C" w:rsidRDefault="00367C9B" w:rsidP="001A552C">
            <w:pPr>
              <w:pStyle w:val="KUJKnormal"/>
              <w:rPr>
                <w:sz w:val="18"/>
                <w:szCs w:val="18"/>
              </w:rPr>
            </w:pPr>
            <w:r w:rsidRPr="001A552C">
              <w:rPr>
                <w:sz w:val="18"/>
                <w:szCs w:val="18"/>
              </w:rPr>
              <w:t>funkcí</w:t>
            </w:r>
          </w:p>
        </w:tc>
      </w:tr>
      <w:tr w:rsidR="00367C9B" w:rsidRPr="001A552C" w14:paraId="617CB0B0" w14:textId="77777777" w:rsidTr="001A552C">
        <w:trPr>
          <w:trHeight w:val="526"/>
          <w:jc w:val="center"/>
        </w:trPr>
        <w:tc>
          <w:tcPr>
            <w:tcW w:w="611" w:type="dxa"/>
            <w:tcBorders>
              <w:top w:val="single" w:sz="4" w:space="0" w:color="auto"/>
              <w:left w:val="single" w:sz="8" w:space="0" w:color="auto"/>
              <w:bottom w:val="single" w:sz="4" w:space="0" w:color="auto"/>
              <w:right w:val="single" w:sz="4" w:space="0" w:color="auto"/>
            </w:tcBorders>
            <w:noWrap/>
            <w:vAlign w:val="center"/>
            <w:hideMark/>
          </w:tcPr>
          <w:p w14:paraId="2F6E0612" w14:textId="77777777" w:rsidR="00367C9B" w:rsidRPr="001A552C" w:rsidRDefault="00367C9B" w:rsidP="001A552C">
            <w:pPr>
              <w:pStyle w:val="KUJKnormal"/>
            </w:pPr>
            <w:r w:rsidRPr="001A552C">
              <w:t>1</w:t>
            </w:r>
          </w:p>
        </w:tc>
        <w:tc>
          <w:tcPr>
            <w:tcW w:w="567" w:type="dxa"/>
            <w:gridSpan w:val="2"/>
            <w:tcBorders>
              <w:top w:val="single" w:sz="4" w:space="0" w:color="auto"/>
              <w:left w:val="single" w:sz="4" w:space="0" w:color="auto"/>
              <w:bottom w:val="single" w:sz="4" w:space="0" w:color="auto"/>
              <w:right w:val="single" w:sz="4" w:space="0" w:color="auto"/>
            </w:tcBorders>
            <w:noWrap/>
            <w:vAlign w:val="center"/>
            <w:hideMark/>
          </w:tcPr>
          <w:p w14:paraId="2AEBAD44" w14:textId="77777777" w:rsidR="00367C9B" w:rsidRPr="001A552C" w:rsidRDefault="00367C9B" w:rsidP="001A552C">
            <w:pPr>
              <w:pStyle w:val="KUJKnormal"/>
              <w:rPr>
                <w:sz w:val="18"/>
                <w:szCs w:val="18"/>
              </w:rPr>
            </w:pPr>
            <w:r w:rsidRPr="001A552C">
              <w:rPr>
                <w:sz w:val="18"/>
                <w:szCs w:val="18"/>
              </w:rPr>
              <w:t>kraj do</w:t>
            </w:r>
          </w:p>
          <w:p w14:paraId="2E62E38B" w14:textId="77777777" w:rsidR="00367C9B" w:rsidRPr="001A552C" w:rsidRDefault="00367C9B" w:rsidP="001A552C">
            <w:pPr>
              <w:pStyle w:val="KUJKnormal"/>
              <w:rPr>
                <w:sz w:val="18"/>
                <w:szCs w:val="18"/>
              </w:rPr>
            </w:pPr>
            <w:r w:rsidRPr="001A552C">
              <w:rPr>
                <w:sz w:val="18"/>
                <w:szCs w:val="18"/>
              </w:rPr>
              <w:t>500 000</w:t>
            </w:r>
          </w:p>
        </w:tc>
        <w:tc>
          <w:tcPr>
            <w:tcW w:w="12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C01D2C" w14:textId="77777777" w:rsidR="00367C9B" w:rsidRPr="001A552C" w:rsidRDefault="00367C9B" w:rsidP="001A552C">
            <w:pPr>
              <w:pStyle w:val="KUJKnormal"/>
              <w:jc w:val="center"/>
            </w:pPr>
            <w:r w:rsidRPr="001A552C">
              <w:t>0,436</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BD403" w14:textId="77777777" w:rsidR="00367C9B" w:rsidRPr="001A552C" w:rsidRDefault="00367C9B" w:rsidP="001A552C">
            <w:pPr>
              <w:pStyle w:val="KUJKnormal"/>
              <w:jc w:val="center"/>
            </w:pPr>
            <w:r w:rsidRPr="001A552C">
              <w:t>0,254</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714551" w14:textId="77777777" w:rsidR="00367C9B" w:rsidRPr="001A552C" w:rsidRDefault="00367C9B" w:rsidP="001A552C">
            <w:pPr>
              <w:pStyle w:val="KUJKnormal"/>
              <w:jc w:val="center"/>
            </w:pPr>
            <w:r w:rsidRPr="001A552C">
              <w:t>0,218</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7D002F" w14:textId="77777777" w:rsidR="00367C9B" w:rsidRPr="001A552C" w:rsidRDefault="00367C9B" w:rsidP="001A552C">
            <w:pPr>
              <w:pStyle w:val="KUJKnormal"/>
              <w:jc w:val="center"/>
            </w:pPr>
            <w:r w:rsidRPr="001A552C">
              <w:t>0,182</w:t>
            </w:r>
          </w:p>
        </w:tc>
      </w:tr>
      <w:tr w:rsidR="00367C9B" w:rsidRPr="001A552C" w14:paraId="51B50ED9" w14:textId="77777777" w:rsidTr="001A552C">
        <w:trPr>
          <w:trHeight w:val="526"/>
          <w:jc w:val="center"/>
        </w:trPr>
        <w:tc>
          <w:tcPr>
            <w:tcW w:w="611" w:type="dxa"/>
            <w:tcBorders>
              <w:top w:val="single" w:sz="4" w:space="0" w:color="auto"/>
              <w:left w:val="single" w:sz="8" w:space="0" w:color="auto"/>
              <w:bottom w:val="single" w:sz="4" w:space="0" w:color="auto"/>
              <w:right w:val="single" w:sz="4" w:space="0" w:color="auto"/>
            </w:tcBorders>
            <w:noWrap/>
            <w:vAlign w:val="center"/>
            <w:hideMark/>
          </w:tcPr>
          <w:p w14:paraId="079330D3" w14:textId="77777777" w:rsidR="00367C9B" w:rsidRPr="001A552C" w:rsidRDefault="00367C9B" w:rsidP="001A552C">
            <w:pPr>
              <w:pStyle w:val="KUJKnormal"/>
              <w:rPr>
                <w:b/>
                <w:bCs/>
              </w:rPr>
            </w:pPr>
            <w:r w:rsidRPr="001A552C">
              <w:rPr>
                <w:b/>
                <w:bCs/>
              </w:rPr>
              <w:t>2</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34C4BCCF" w14:textId="77777777" w:rsidR="00367C9B" w:rsidRPr="001A552C" w:rsidRDefault="00367C9B" w:rsidP="001A552C">
            <w:pPr>
              <w:pStyle w:val="KUJKnormal"/>
              <w:rPr>
                <w:b/>
                <w:bCs/>
                <w:sz w:val="18"/>
                <w:szCs w:val="18"/>
              </w:rPr>
            </w:pPr>
            <w:r w:rsidRPr="001A552C">
              <w:rPr>
                <w:b/>
                <w:bCs/>
                <w:sz w:val="18"/>
                <w:szCs w:val="18"/>
              </w:rPr>
              <w:t>kraj 500 001 – 1 000 000</w:t>
            </w:r>
          </w:p>
        </w:tc>
        <w:tc>
          <w:tcPr>
            <w:tcW w:w="12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8C26D7" w14:textId="77777777" w:rsidR="00367C9B" w:rsidRPr="001A552C" w:rsidRDefault="00367C9B" w:rsidP="001A552C">
            <w:pPr>
              <w:pStyle w:val="KUJKnormal"/>
              <w:jc w:val="center"/>
              <w:rPr>
                <w:b/>
                <w:bCs/>
              </w:rPr>
            </w:pPr>
            <w:r w:rsidRPr="001A552C">
              <w:rPr>
                <w:b/>
                <w:bCs/>
              </w:rPr>
              <w:t>0,450</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BAF78B" w14:textId="77777777" w:rsidR="00367C9B" w:rsidRPr="001A552C" w:rsidRDefault="00367C9B" w:rsidP="001A552C">
            <w:pPr>
              <w:pStyle w:val="KUJKnormal"/>
              <w:jc w:val="center"/>
              <w:rPr>
                <w:b/>
                <w:bCs/>
              </w:rPr>
            </w:pPr>
            <w:r w:rsidRPr="001A552C">
              <w:rPr>
                <w:b/>
                <w:bCs/>
              </w:rPr>
              <w:t>0,263</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B79000" w14:textId="77777777" w:rsidR="00367C9B" w:rsidRPr="001A552C" w:rsidRDefault="00367C9B" w:rsidP="001A552C">
            <w:pPr>
              <w:pStyle w:val="KUJKnormal"/>
              <w:jc w:val="center"/>
              <w:rPr>
                <w:b/>
                <w:bCs/>
              </w:rPr>
            </w:pPr>
            <w:r w:rsidRPr="001A552C">
              <w:rPr>
                <w:b/>
                <w:bCs/>
              </w:rPr>
              <w:t>0,225</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C1741" w14:textId="77777777" w:rsidR="00367C9B" w:rsidRPr="001A552C" w:rsidRDefault="00367C9B" w:rsidP="001A552C">
            <w:pPr>
              <w:pStyle w:val="KUJKnormal"/>
              <w:jc w:val="center"/>
              <w:rPr>
                <w:b/>
                <w:bCs/>
              </w:rPr>
            </w:pPr>
            <w:r w:rsidRPr="001A552C">
              <w:rPr>
                <w:b/>
                <w:bCs/>
              </w:rPr>
              <w:t>0,188</w:t>
            </w:r>
          </w:p>
        </w:tc>
      </w:tr>
      <w:tr w:rsidR="00367C9B" w:rsidRPr="001A552C" w14:paraId="020585F9" w14:textId="77777777" w:rsidTr="001A552C">
        <w:trPr>
          <w:trHeight w:val="526"/>
          <w:jc w:val="center"/>
        </w:trPr>
        <w:tc>
          <w:tcPr>
            <w:tcW w:w="611" w:type="dxa"/>
            <w:tcBorders>
              <w:top w:val="single" w:sz="4" w:space="0" w:color="auto"/>
              <w:left w:val="single" w:sz="8" w:space="0" w:color="auto"/>
              <w:bottom w:val="single" w:sz="8" w:space="0" w:color="auto"/>
              <w:right w:val="single" w:sz="4" w:space="0" w:color="auto"/>
            </w:tcBorders>
            <w:noWrap/>
            <w:vAlign w:val="center"/>
            <w:hideMark/>
          </w:tcPr>
          <w:p w14:paraId="2A078CF3" w14:textId="77777777" w:rsidR="00367C9B" w:rsidRPr="001A552C" w:rsidRDefault="00367C9B" w:rsidP="001A552C">
            <w:pPr>
              <w:pStyle w:val="KUJKnormal"/>
            </w:pPr>
            <w:r w:rsidRPr="001A552C">
              <w:t>3</w:t>
            </w:r>
          </w:p>
        </w:tc>
        <w:tc>
          <w:tcPr>
            <w:tcW w:w="567" w:type="dxa"/>
            <w:gridSpan w:val="2"/>
            <w:tcBorders>
              <w:top w:val="single" w:sz="4" w:space="0" w:color="auto"/>
              <w:left w:val="single" w:sz="4" w:space="0" w:color="auto"/>
              <w:bottom w:val="single" w:sz="8" w:space="0" w:color="auto"/>
              <w:right w:val="single" w:sz="4" w:space="0" w:color="auto"/>
            </w:tcBorders>
            <w:noWrap/>
            <w:vAlign w:val="center"/>
            <w:hideMark/>
          </w:tcPr>
          <w:p w14:paraId="7EB71240" w14:textId="77777777" w:rsidR="00367C9B" w:rsidRPr="001A552C" w:rsidRDefault="00367C9B" w:rsidP="001A552C">
            <w:pPr>
              <w:pStyle w:val="KUJKnormal"/>
              <w:rPr>
                <w:sz w:val="18"/>
                <w:szCs w:val="18"/>
              </w:rPr>
            </w:pPr>
            <w:r w:rsidRPr="001A552C">
              <w:rPr>
                <w:sz w:val="18"/>
                <w:szCs w:val="18"/>
              </w:rPr>
              <w:t>kraj nad</w:t>
            </w:r>
          </w:p>
          <w:p w14:paraId="5044287F" w14:textId="77777777" w:rsidR="00367C9B" w:rsidRPr="001A552C" w:rsidRDefault="00367C9B" w:rsidP="001A552C">
            <w:pPr>
              <w:pStyle w:val="KUJKnormal"/>
              <w:rPr>
                <w:sz w:val="18"/>
                <w:szCs w:val="18"/>
              </w:rPr>
            </w:pPr>
            <w:r w:rsidRPr="001A552C">
              <w:rPr>
                <w:sz w:val="18"/>
                <w:szCs w:val="18"/>
              </w:rPr>
              <w:t xml:space="preserve">1 000 000 </w:t>
            </w:r>
          </w:p>
        </w:tc>
        <w:tc>
          <w:tcPr>
            <w:tcW w:w="1247" w:type="dxa"/>
            <w:tcBorders>
              <w:top w:val="single" w:sz="4" w:space="0" w:color="auto"/>
              <w:left w:val="single" w:sz="4" w:space="0" w:color="auto"/>
              <w:bottom w:val="single" w:sz="8" w:space="0" w:color="auto"/>
              <w:right w:val="single" w:sz="4" w:space="0" w:color="auto"/>
            </w:tcBorders>
            <w:shd w:val="clear" w:color="auto" w:fill="FFFFFF"/>
            <w:noWrap/>
            <w:vAlign w:val="center"/>
            <w:hideMark/>
          </w:tcPr>
          <w:p w14:paraId="61D264BB" w14:textId="77777777" w:rsidR="00367C9B" w:rsidRPr="001A552C" w:rsidRDefault="00367C9B" w:rsidP="001A552C">
            <w:pPr>
              <w:pStyle w:val="KUJKnormal"/>
              <w:jc w:val="center"/>
            </w:pPr>
            <w:r w:rsidRPr="001A552C">
              <w:t>0,465</w:t>
            </w:r>
          </w:p>
        </w:tc>
        <w:tc>
          <w:tcPr>
            <w:tcW w:w="1247" w:type="dxa"/>
            <w:tcBorders>
              <w:top w:val="single" w:sz="4" w:space="0" w:color="auto"/>
              <w:left w:val="single" w:sz="4" w:space="0" w:color="auto"/>
              <w:bottom w:val="single" w:sz="8" w:space="0" w:color="auto"/>
              <w:right w:val="single" w:sz="4" w:space="0" w:color="auto"/>
            </w:tcBorders>
            <w:shd w:val="clear" w:color="auto" w:fill="FFFFFF"/>
            <w:vAlign w:val="center"/>
            <w:hideMark/>
          </w:tcPr>
          <w:p w14:paraId="5F6F368B" w14:textId="77777777" w:rsidR="00367C9B" w:rsidRPr="001A552C" w:rsidRDefault="00367C9B" w:rsidP="001A552C">
            <w:pPr>
              <w:pStyle w:val="KUJKnormal"/>
              <w:jc w:val="center"/>
            </w:pPr>
            <w:r w:rsidRPr="001A552C">
              <w:t>0,271</w:t>
            </w:r>
          </w:p>
        </w:tc>
        <w:tc>
          <w:tcPr>
            <w:tcW w:w="1247" w:type="dxa"/>
            <w:tcBorders>
              <w:top w:val="single" w:sz="4" w:space="0" w:color="auto"/>
              <w:left w:val="single" w:sz="4" w:space="0" w:color="auto"/>
              <w:bottom w:val="single" w:sz="8" w:space="0" w:color="auto"/>
              <w:right w:val="single" w:sz="4" w:space="0" w:color="auto"/>
            </w:tcBorders>
            <w:shd w:val="clear" w:color="auto" w:fill="FFFFFF"/>
            <w:vAlign w:val="center"/>
            <w:hideMark/>
          </w:tcPr>
          <w:p w14:paraId="488C5FD1" w14:textId="77777777" w:rsidR="00367C9B" w:rsidRPr="001A552C" w:rsidRDefault="00367C9B" w:rsidP="001A552C">
            <w:pPr>
              <w:pStyle w:val="KUJKnormal"/>
              <w:jc w:val="center"/>
            </w:pPr>
            <w:r w:rsidRPr="001A552C">
              <w:t>0,232</w:t>
            </w:r>
          </w:p>
        </w:tc>
        <w:tc>
          <w:tcPr>
            <w:tcW w:w="1247" w:type="dxa"/>
            <w:tcBorders>
              <w:top w:val="single" w:sz="4" w:space="0" w:color="auto"/>
              <w:left w:val="single" w:sz="4" w:space="0" w:color="auto"/>
              <w:bottom w:val="single" w:sz="8" w:space="0" w:color="auto"/>
              <w:right w:val="single" w:sz="4" w:space="0" w:color="auto"/>
            </w:tcBorders>
            <w:shd w:val="clear" w:color="auto" w:fill="FFFFFF"/>
            <w:vAlign w:val="center"/>
            <w:hideMark/>
          </w:tcPr>
          <w:p w14:paraId="4C44AF4A" w14:textId="77777777" w:rsidR="00367C9B" w:rsidRPr="001A552C" w:rsidRDefault="00367C9B" w:rsidP="001A552C">
            <w:pPr>
              <w:pStyle w:val="KUJKnormal"/>
              <w:jc w:val="center"/>
            </w:pPr>
            <w:r w:rsidRPr="001A552C">
              <w:t>0,194</w:t>
            </w:r>
          </w:p>
        </w:tc>
      </w:tr>
    </w:tbl>
    <w:p w14:paraId="28F15E00" w14:textId="77777777" w:rsidR="00367C9B" w:rsidRDefault="00367C9B" w:rsidP="001A552C">
      <w:pPr>
        <w:pStyle w:val="KUJKnormal"/>
        <w:jc w:val="center"/>
      </w:pPr>
    </w:p>
    <w:p w14:paraId="4EAFF6D9" w14:textId="77777777" w:rsidR="00367C9B" w:rsidRDefault="00367C9B" w:rsidP="00956171">
      <w:pPr>
        <w:pStyle w:val="KUJKnormal"/>
      </w:pPr>
      <w:r w:rsidRPr="00FE2496">
        <w:t>Návrh odměn neuvolněným členům ZK pro rok 2026 vychází z max. možné odměny dané přílohou novely zákona č. 129/2000 Sb., o krajích. Ministerstvo vnitra ČR zveřejnilo doplněk k metodickému doporučení – tabulkovou výši odměn členů zastupitelstev ÚSC pro rok 2026, ve které je uvedena maximálně možná výše odměny viz tabulka níže. Tak jako v předešlých letech je doporučeno schválit i pro rok 2026 odměny v maximální výši se zaokrouhlením.</w:t>
      </w:r>
    </w:p>
    <w:p w14:paraId="4F9DD34C" w14:textId="77777777" w:rsidR="00367C9B" w:rsidRDefault="00367C9B" w:rsidP="00956171">
      <w:pPr>
        <w:pStyle w:val="KUJKnorma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1844"/>
        <w:gridCol w:w="2268"/>
        <w:gridCol w:w="2544"/>
      </w:tblGrid>
      <w:tr w:rsidR="00367C9B" w:rsidRPr="00FE2496" w14:paraId="043B7189" w14:textId="77777777">
        <w:trPr>
          <w:trHeight w:val="748"/>
        </w:trPr>
        <w:tc>
          <w:tcPr>
            <w:tcW w:w="2863" w:type="dxa"/>
            <w:tcBorders>
              <w:top w:val="single" w:sz="4" w:space="0" w:color="auto"/>
              <w:left w:val="single" w:sz="4" w:space="0" w:color="auto"/>
              <w:bottom w:val="single" w:sz="4" w:space="0" w:color="auto"/>
              <w:right w:val="single" w:sz="4" w:space="0" w:color="auto"/>
            </w:tcBorders>
            <w:vAlign w:val="center"/>
            <w:hideMark/>
          </w:tcPr>
          <w:p w14:paraId="74BFFD19" w14:textId="77777777" w:rsidR="00367C9B" w:rsidRPr="00FE2496" w:rsidRDefault="00367C9B" w:rsidP="00FE2496">
            <w:pPr>
              <w:pStyle w:val="KUJKnormal"/>
              <w:jc w:val="center"/>
            </w:pPr>
            <w:r w:rsidRPr="00FE2496">
              <w:t>Funkce neuvolněného člena zastupitelstva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45D96E8" w14:textId="77777777" w:rsidR="00367C9B" w:rsidRPr="00FE2496" w:rsidRDefault="00367C9B" w:rsidP="00FE2496">
            <w:pPr>
              <w:pStyle w:val="KUJKnormal"/>
              <w:jc w:val="center"/>
            </w:pPr>
            <w:r w:rsidRPr="00FE2496">
              <w:t>Odměna v roce 2025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72E846" w14:textId="77777777" w:rsidR="00367C9B" w:rsidRPr="00FE2496" w:rsidRDefault="00367C9B" w:rsidP="00FE2496">
            <w:pPr>
              <w:pStyle w:val="KUJKnormal"/>
              <w:jc w:val="center"/>
              <w:rPr>
                <w:b/>
                <w:bCs/>
              </w:rPr>
            </w:pPr>
            <w:r w:rsidRPr="00FE2496">
              <w:rPr>
                <w:b/>
                <w:bCs/>
              </w:rPr>
              <w:t>Odměna                           od 1. 1. 2026 – návrh</w:t>
            </w:r>
          </w:p>
        </w:tc>
        <w:tc>
          <w:tcPr>
            <w:tcW w:w="2544" w:type="dxa"/>
            <w:tcBorders>
              <w:top w:val="single" w:sz="4" w:space="0" w:color="auto"/>
              <w:left w:val="single" w:sz="4" w:space="0" w:color="auto"/>
              <w:bottom w:val="single" w:sz="4" w:space="0" w:color="auto"/>
              <w:right w:val="single" w:sz="4" w:space="0" w:color="auto"/>
            </w:tcBorders>
            <w:vAlign w:val="center"/>
            <w:hideMark/>
          </w:tcPr>
          <w:p w14:paraId="74457C6D" w14:textId="77777777" w:rsidR="00367C9B" w:rsidRPr="00FE2496" w:rsidRDefault="00367C9B" w:rsidP="00FE2496">
            <w:pPr>
              <w:pStyle w:val="KUJKnormal"/>
              <w:jc w:val="center"/>
              <w:rPr>
                <w:sz w:val="18"/>
                <w:szCs w:val="18"/>
              </w:rPr>
            </w:pPr>
            <w:r w:rsidRPr="00FE2496">
              <w:rPr>
                <w:sz w:val="18"/>
                <w:szCs w:val="18"/>
              </w:rPr>
              <w:t>Maximální možná</w:t>
            </w:r>
          </w:p>
          <w:p w14:paraId="28C347E0" w14:textId="77777777" w:rsidR="00367C9B" w:rsidRPr="00FE2496" w:rsidRDefault="00367C9B" w:rsidP="00FE2496">
            <w:pPr>
              <w:pStyle w:val="KUJKnormal"/>
              <w:jc w:val="center"/>
              <w:rPr>
                <w:sz w:val="18"/>
                <w:szCs w:val="18"/>
              </w:rPr>
            </w:pPr>
            <w:r w:rsidRPr="00FE2496">
              <w:rPr>
                <w:sz w:val="18"/>
                <w:szCs w:val="18"/>
              </w:rPr>
              <w:t>odměna pro rok 2026</w:t>
            </w:r>
          </w:p>
          <w:p w14:paraId="66A933F7" w14:textId="77777777" w:rsidR="00367C9B" w:rsidRPr="00FE2496" w:rsidRDefault="00367C9B" w:rsidP="00FE2496">
            <w:pPr>
              <w:pStyle w:val="KUJKnormal"/>
              <w:jc w:val="center"/>
            </w:pPr>
            <w:r w:rsidRPr="00FE2496">
              <w:rPr>
                <w:sz w:val="18"/>
                <w:szCs w:val="18"/>
              </w:rPr>
              <w:t>dle MV ČR</w:t>
            </w:r>
          </w:p>
        </w:tc>
      </w:tr>
      <w:tr w:rsidR="00367C9B" w:rsidRPr="00FE2496" w14:paraId="1D1752C4" w14:textId="77777777">
        <w:trPr>
          <w:trHeight w:hRule="exact" w:val="454"/>
        </w:trPr>
        <w:tc>
          <w:tcPr>
            <w:tcW w:w="2863" w:type="dxa"/>
            <w:tcBorders>
              <w:top w:val="single" w:sz="4" w:space="0" w:color="auto"/>
              <w:left w:val="single" w:sz="4" w:space="0" w:color="auto"/>
              <w:bottom w:val="single" w:sz="4" w:space="0" w:color="auto"/>
              <w:right w:val="single" w:sz="4" w:space="0" w:color="auto"/>
            </w:tcBorders>
            <w:vAlign w:val="center"/>
            <w:hideMark/>
          </w:tcPr>
          <w:p w14:paraId="777F5056" w14:textId="77777777" w:rsidR="00367C9B" w:rsidRPr="00FE2496" w:rsidRDefault="00367C9B" w:rsidP="00FE2496">
            <w:pPr>
              <w:pStyle w:val="KUJKnormal"/>
              <w:rPr>
                <w:b/>
                <w:bCs/>
              </w:rPr>
            </w:pPr>
            <w:r w:rsidRPr="00FE2496">
              <w:rPr>
                <w:b/>
                <w:bCs/>
              </w:rPr>
              <w:t>Člen ZK bez dalších funkcí</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A39DC97" w14:textId="77777777" w:rsidR="00367C9B" w:rsidRPr="00FE2496" w:rsidRDefault="00367C9B" w:rsidP="00FE2496">
            <w:pPr>
              <w:pStyle w:val="KUJKnormal"/>
              <w:jc w:val="center"/>
            </w:pPr>
            <w:r w:rsidRPr="00FE2496">
              <w:t>8 450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D075AE" w14:textId="77777777" w:rsidR="00367C9B" w:rsidRPr="00FE2496" w:rsidRDefault="00367C9B" w:rsidP="00FE2496">
            <w:pPr>
              <w:pStyle w:val="KUJKnormal"/>
              <w:jc w:val="center"/>
              <w:rPr>
                <w:b/>
                <w:bCs/>
              </w:rPr>
            </w:pPr>
            <w:r w:rsidRPr="00FE2496">
              <w:rPr>
                <w:b/>
                <w:bCs/>
              </w:rPr>
              <w:t>9 050</w:t>
            </w:r>
          </w:p>
        </w:tc>
        <w:tc>
          <w:tcPr>
            <w:tcW w:w="2544" w:type="dxa"/>
            <w:tcBorders>
              <w:top w:val="single" w:sz="4" w:space="0" w:color="auto"/>
              <w:left w:val="single" w:sz="4" w:space="0" w:color="auto"/>
              <w:bottom w:val="single" w:sz="4" w:space="0" w:color="auto"/>
              <w:right w:val="single" w:sz="4" w:space="0" w:color="auto"/>
            </w:tcBorders>
            <w:vAlign w:val="center"/>
            <w:hideMark/>
          </w:tcPr>
          <w:p w14:paraId="003F727A" w14:textId="77777777" w:rsidR="00367C9B" w:rsidRPr="00FE2496" w:rsidRDefault="00367C9B" w:rsidP="00FE2496">
            <w:pPr>
              <w:pStyle w:val="KUJKnormal"/>
              <w:jc w:val="center"/>
            </w:pPr>
            <w:r w:rsidRPr="00FE2496">
              <w:t>9 052</w:t>
            </w:r>
          </w:p>
        </w:tc>
      </w:tr>
      <w:tr w:rsidR="00367C9B" w:rsidRPr="00FE2496" w14:paraId="1B3A874E" w14:textId="77777777">
        <w:trPr>
          <w:trHeight w:hRule="exact" w:val="454"/>
        </w:trPr>
        <w:tc>
          <w:tcPr>
            <w:tcW w:w="2863" w:type="dxa"/>
            <w:tcBorders>
              <w:top w:val="single" w:sz="4" w:space="0" w:color="auto"/>
              <w:left w:val="single" w:sz="4" w:space="0" w:color="auto"/>
              <w:bottom w:val="single" w:sz="4" w:space="0" w:color="auto"/>
              <w:right w:val="single" w:sz="4" w:space="0" w:color="auto"/>
            </w:tcBorders>
            <w:vAlign w:val="center"/>
            <w:hideMark/>
          </w:tcPr>
          <w:p w14:paraId="22CEF5A2" w14:textId="77777777" w:rsidR="00367C9B" w:rsidRPr="00FE2496" w:rsidRDefault="00367C9B" w:rsidP="00FE2496">
            <w:pPr>
              <w:pStyle w:val="KUJKnormal"/>
              <w:rPr>
                <w:b/>
                <w:bCs/>
              </w:rPr>
            </w:pPr>
            <w:r w:rsidRPr="00FE2496">
              <w:rPr>
                <w:b/>
                <w:bCs/>
              </w:rPr>
              <w:t>Člen výboru/komise</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8B21433" w14:textId="77777777" w:rsidR="00367C9B" w:rsidRPr="00FE2496" w:rsidRDefault="00367C9B" w:rsidP="00FE2496">
            <w:pPr>
              <w:pStyle w:val="KUJKnormal"/>
              <w:jc w:val="center"/>
            </w:pPr>
            <w:r w:rsidRPr="00FE2496">
              <w:t>10 110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BDEC40" w14:textId="77777777" w:rsidR="00367C9B" w:rsidRPr="00FE2496" w:rsidRDefault="00367C9B" w:rsidP="00FE2496">
            <w:pPr>
              <w:pStyle w:val="KUJKnormal"/>
              <w:jc w:val="center"/>
              <w:rPr>
                <w:b/>
                <w:bCs/>
              </w:rPr>
            </w:pPr>
            <w:r w:rsidRPr="00FE2496">
              <w:rPr>
                <w:b/>
                <w:bCs/>
              </w:rPr>
              <w:t>10 830</w:t>
            </w:r>
          </w:p>
        </w:tc>
        <w:tc>
          <w:tcPr>
            <w:tcW w:w="2544" w:type="dxa"/>
            <w:tcBorders>
              <w:top w:val="single" w:sz="4" w:space="0" w:color="auto"/>
              <w:left w:val="single" w:sz="4" w:space="0" w:color="auto"/>
              <w:bottom w:val="single" w:sz="4" w:space="0" w:color="auto"/>
              <w:right w:val="single" w:sz="4" w:space="0" w:color="auto"/>
            </w:tcBorders>
            <w:vAlign w:val="center"/>
            <w:hideMark/>
          </w:tcPr>
          <w:p w14:paraId="2B1D39AE" w14:textId="77777777" w:rsidR="00367C9B" w:rsidRPr="00FE2496" w:rsidRDefault="00367C9B" w:rsidP="00FE2496">
            <w:pPr>
              <w:pStyle w:val="KUJKnormal"/>
              <w:jc w:val="center"/>
            </w:pPr>
            <w:r w:rsidRPr="00FE2496">
              <w:t>10 834</w:t>
            </w:r>
          </w:p>
        </w:tc>
      </w:tr>
      <w:tr w:rsidR="00367C9B" w:rsidRPr="00FE2496" w14:paraId="1CE03971" w14:textId="77777777">
        <w:trPr>
          <w:trHeight w:hRule="exact" w:val="454"/>
        </w:trPr>
        <w:tc>
          <w:tcPr>
            <w:tcW w:w="2863" w:type="dxa"/>
            <w:tcBorders>
              <w:top w:val="single" w:sz="4" w:space="0" w:color="auto"/>
              <w:left w:val="single" w:sz="4" w:space="0" w:color="auto"/>
              <w:bottom w:val="single" w:sz="4" w:space="0" w:color="auto"/>
              <w:right w:val="single" w:sz="4" w:space="0" w:color="auto"/>
            </w:tcBorders>
            <w:vAlign w:val="center"/>
            <w:hideMark/>
          </w:tcPr>
          <w:p w14:paraId="2F656C91" w14:textId="77777777" w:rsidR="00367C9B" w:rsidRPr="00FE2496" w:rsidRDefault="00367C9B" w:rsidP="00FE2496">
            <w:pPr>
              <w:pStyle w:val="KUJKnormal"/>
              <w:rPr>
                <w:b/>
                <w:bCs/>
              </w:rPr>
            </w:pPr>
            <w:r w:rsidRPr="00FE2496">
              <w:rPr>
                <w:b/>
                <w:bCs/>
              </w:rPr>
              <w:t>Předseda výboru/komise</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02B71D" w14:textId="77777777" w:rsidR="00367C9B" w:rsidRPr="00FE2496" w:rsidRDefault="00367C9B" w:rsidP="00FE2496">
            <w:pPr>
              <w:pStyle w:val="KUJKnormal"/>
              <w:jc w:val="center"/>
            </w:pPr>
            <w:r w:rsidRPr="00FE2496">
              <w:t>11 820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37B577" w14:textId="77777777" w:rsidR="00367C9B" w:rsidRPr="00FE2496" w:rsidRDefault="00367C9B" w:rsidP="00FE2496">
            <w:pPr>
              <w:pStyle w:val="KUJKnormal"/>
              <w:jc w:val="center"/>
              <w:rPr>
                <w:b/>
                <w:bCs/>
              </w:rPr>
            </w:pPr>
            <w:r w:rsidRPr="00FE2496">
              <w:rPr>
                <w:b/>
                <w:bCs/>
              </w:rPr>
              <w:t>12 660</w:t>
            </w:r>
          </w:p>
        </w:tc>
        <w:tc>
          <w:tcPr>
            <w:tcW w:w="2544" w:type="dxa"/>
            <w:tcBorders>
              <w:top w:val="single" w:sz="4" w:space="0" w:color="auto"/>
              <w:left w:val="single" w:sz="4" w:space="0" w:color="auto"/>
              <w:bottom w:val="single" w:sz="4" w:space="0" w:color="auto"/>
              <w:right w:val="single" w:sz="4" w:space="0" w:color="auto"/>
            </w:tcBorders>
            <w:vAlign w:val="center"/>
            <w:hideMark/>
          </w:tcPr>
          <w:p w14:paraId="34397F95" w14:textId="77777777" w:rsidR="00367C9B" w:rsidRPr="00FE2496" w:rsidRDefault="00367C9B" w:rsidP="00FE2496">
            <w:pPr>
              <w:pStyle w:val="KUJKnormal"/>
              <w:jc w:val="center"/>
            </w:pPr>
            <w:r w:rsidRPr="00FE2496">
              <w:t>12 663</w:t>
            </w:r>
          </w:p>
        </w:tc>
      </w:tr>
      <w:tr w:rsidR="00367C9B" w:rsidRPr="00FE2496" w14:paraId="079EFA0E" w14:textId="77777777">
        <w:trPr>
          <w:trHeight w:hRule="exact" w:val="454"/>
        </w:trPr>
        <w:tc>
          <w:tcPr>
            <w:tcW w:w="2863" w:type="dxa"/>
            <w:tcBorders>
              <w:top w:val="single" w:sz="4" w:space="0" w:color="auto"/>
              <w:left w:val="single" w:sz="4" w:space="0" w:color="auto"/>
              <w:bottom w:val="single" w:sz="4" w:space="0" w:color="auto"/>
              <w:right w:val="single" w:sz="4" w:space="0" w:color="auto"/>
            </w:tcBorders>
            <w:vAlign w:val="center"/>
            <w:hideMark/>
          </w:tcPr>
          <w:p w14:paraId="6108745F" w14:textId="77777777" w:rsidR="00367C9B" w:rsidRPr="00FE2496" w:rsidRDefault="00367C9B" w:rsidP="00FE2496">
            <w:pPr>
              <w:pStyle w:val="KUJKnormal"/>
              <w:rPr>
                <w:b/>
                <w:bCs/>
              </w:rPr>
            </w:pPr>
            <w:r w:rsidRPr="00FE2496">
              <w:rPr>
                <w:b/>
                <w:bCs/>
              </w:rPr>
              <w:t>Člen rady kraje</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C6555ED" w14:textId="77777777" w:rsidR="00367C9B" w:rsidRPr="00FE2496" w:rsidRDefault="00367C9B" w:rsidP="00FE2496">
            <w:pPr>
              <w:pStyle w:val="KUJKnormal"/>
              <w:jc w:val="center"/>
            </w:pPr>
            <w:r w:rsidRPr="00FE2496">
              <w:t>20 220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9E30C6" w14:textId="77777777" w:rsidR="00367C9B" w:rsidRPr="00FE2496" w:rsidRDefault="00367C9B" w:rsidP="00FE2496">
            <w:pPr>
              <w:pStyle w:val="KUJKnormal"/>
              <w:jc w:val="center"/>
              <w:rPr>
                <w:b/>
                <w:bCs/>
              </w:rPr>
            </w:pPr>
            <w:r w:rsidRPr="00FE2496">
              <w:rPr>
                <w:b/>
                <w:bCs/>
              </w:rPr>
              <w:t>21 660</w:t>
            </w:r>
          </w:p>
        </w:tc>
        <w:tc>
          <w:tcPr>
            <w:tcW w:w="2544" w:type="dxa"/>
            <w:tcBorders>
              <w:top w:val="single" w:sz="4" w:space="0" w:color="auto"/>
              <w:left w:val="single" w:sz="4" w:space="0" w:color="auto"/>
              <w:bottom w:val="single" w:sz="4" w:space="0" w:color="auto"/>
              <w:right w:val="single" w:sz="4" w:space="0" w:color="auto"/>
            </w:tcBorders>
            <w:vAlign w:val="center"/>
            <w:hideMark/>
          </w:tcPr>
          <w:p w14:paraId="2DC2074E" w14:textId="77777777" w:rsidR="00367C9B" w:rsidRPr="00FE2496" w:rsidRDefault="00367C9B" w:rsidP="00FE2496">
            <w:pPr>
              <w:pStyle w:val="KUJKnormal"/>
              <w:jc w:val="center"/>
            </w:pPr>
            <w:r w:rsidRPr="00FE2496">
              <w:t>21 667</w:t>
            </w:r>
          </w:p>
        </w:tc>
      </w:tr>
    </w:tbl>
    <w:p w14:paraId="78EB9FD5" w14:textId="77777777" w:rsidR="00367C9B" w:rsidRDefault="00367C9B" w:rsidP="00956171">
      <w:pPr>
        <w:pStyle w:val="KUJKnormal"/>
      </w:pPr>
    </w:p>
    <w:p w14:paraId="025FA9CA" w14:textId="77777777" w:rsidR="00367C9B" w:rsidRDefault="00367C9B" w:rsidP="00956171">
      <w:pPr>
        <w:pStyle w:val="KUJKnormal"/>
      </w:pPr>
      <w:r w:rsidRPr="00FE2496">
        <w:rPr>
          <w:bCs/>
        </w:rPr>
        <w:t>Podle ustanovení zákona o krajích (§ 47 odst. 3) usnesení o stanovení odměn neuvolněným členům zastupitelstva pozbývá účinnosti ukončením funkčního období zastupitelstva, které odměnu stanovilo.</w:t>
      </w:r>
    </w:p>
    <w:p w14:paraId="2B016427" w14:textId="77777777" w:rsidR="00367C9B" w:rsidRDefault="00367C9B" w:rsidP="00D67798">
      <w:pPr>
        <w:pStyle w:val="KUJKnormal"/>
      </w:pPr>
    </w:p>
    <w:p w14:paraId="6F6C07BB" w14:textId="77777777" w:rsidR="00367C9B" w:rsidRDefault="00367C9B" w:rsidP="00D67798">
      <w:pPr>
        <w:pStyle w:val="KUJKnormal"/>
      </w:pPr>
    </w:p>
    <w:p w14:paraId="1E71806E" w14:textId="77777777" w:rsidR="00367C9B" w:rsidRDefault="00367C9B" w:rsidP="00D67798">
      <w:pPr>
        <w:pStyle w:val="KUJKnormal"/>
      </w:pPr>
      <w:r>
        <w:t>Finanční nároky a krytí:</w:t>
      </w:r>
    </w:p>
    <w:p w14:paraId="0358BA3B" w14:textId="77777777" w:rsidR="00367C9B" w:rsidRDefault="00367C9B" w:rsidP="00D67798">
      <w:pPr>
        <w:pStyle w:val="KUJKnormal"/>
      </w:pPr>
      <w:r w:rsidRPr="00FE2496">
        <w:t>Finanční prostředky jsou součástí rozpočtu odpovědného místa 91 Samospráva na rok 2026.</w:t>
      </w:r>
    </w:p>
    <w:p w14:paraId="7DED1ABC" w14:textId="77777777" w:rsidR="00367C9B" w:rsidRDefault="00367C9B" w:rsidP="00D67798">
      <w:pPr>
        <w:pStyle w:val="KUJKnormal"/>
      </w:pPr>
    </w:p>
    <w:p w14:paraId="0C278C12" w14:textId="77777777" w:rsidR="00367C9B" w:rsidRDefault="00367C9B" w:rsidP="00D67798">
      <w:pPr>
        <w:pStyle w:val="KUJKnormal"/>
      </w:pPr>
      <w:r>
        <w:t>Vyjádření správce rozpočtu:</w:t>
      </w:r>
    </w:p>
    <w:p w14:paraId="6435460F" w14:textId="77777777" w:rsidR="00367C9B" w:rsidRDefault="00367C9B" w:rsidP="00991121">
      <w:pPr>
        <w:pStyle w:val="KUJKnormal"/>
      </w:pPr>
      <w:r>
        <w:t>Ing. Kateřina Francová (OEKO):</w:t>
      </w:r>
      <w:r w:rsidRPr="007666AA">
        <w:t xml:space="preserve"> </w:t>
      </w:r>
      <w:r>
        <w:t>Souhlasím</w:t>
      </w:r>
      <w:r w:rsidRPr="007666AA">
        <w:t xml:space="preserve"> - </w:t>
      </w:r>
      <w:r>
        <w:t>z hlediska uvedeného rozpočtového krytí. Finanční prostředky na tento účel jsou alokovány v návrhu rozpočtu JčK na rok 2026 v rámci ORJ 9151 - ostatní výdaje - chod samosprávy.</w:t>
      </w:r>
    </w:p>
    <w:p w14:paraId="6ACD9E24" w14:textId="77777777" w:rsidR="00367C9B" w:rsidRDefault="00367C9B" w:rsidP="00D67798">
      <w:pPr>
        <w:pStyle w:val="KUJKnormal"/>
      </w:pPr>
    </w:p>
    <w:p w14:paraId="6D38AC1C" w14:textId="77777777" w:rsidR="00367C9B" w:rsidRDefault="00367C9B" w:rsidP="00D67798">
      <w:pPr>
        <w:pStyle w:val="KUJKnormal"/>
      </w:pPr>
    </w:p>
    <w:p w14:paraId="322F90B4" w14:textId="77777777" w:rsidR="00367C9B" w:rsidRDefault="00367C9B" w:rsidP="00D67798">
      <w:pPr>
        <w:pStyle w:val="KUJKnormal"/>
      </w:pPr>
      <w:r>
        <w:t>Návrh projednán (stanoviska):</w:t>
      </w:r>
    </w:p>
    <w:p w14:paraId="65CF1DD5" w14:textId="77777777" w:rsidR="00367C9B" w:rsidRPr="00A521E1" w:rsidRDefault="00367C9B" w:rsidP="00B67F57">
      <w:pPr>
        <w:pStyle w:val="KUJKnormal"/>
      </w:pPr>
      <w:r>
        <w:t>Mgr. Markéta Procházková (OPZU):</w:t>
      </w:r>
      <w:r w:rsidRPr="00A521E1">
        <w:t xml:space="preserve"> </w:t>
      </w:r>
      <w:r>
        <w:t>Souhlasím.</w:t>
      </w:r>
    </w:p>
    <w:p w14:paraId="55B8696A" w14:textId="77777777" w:rsidR="00367C9B" w:rsidRDefault="00367C9B" w:rsidP="00D67798">
      <w:pPr>
        <w:pStyle w:val="KUJKnormal"/>
      </w:pPr>
    </w:p>
    <w:p w14:paraId="1EB0FD13" w14:textId="77777777" w:rsidR="00367C9B" w:rsidRDefault="00367C9B" w:rsidP="002C5EB1">
      <w:pPr>
        <w:pStyle w:val="KUJKnormal"/>
      </w:pPr>
    </w:p>
    <w:p w14:paraId="06E97528" w14:textId="77777777" w:rsidR="00367C9B" w:rsidRPr="00A521E1" w:rsidRDefault="00367C9B" w:rsidP="002C5EB1">
      <w:pPr>
        <w:pStyle w:val="KUJKnormal"/>
      </w:pPr>
      <w:r>
        <w:t xml:space="preserve">Návrh projednala rada kraje dne 4. 12. 2025 </w:t>
      </w:r>
      <w:r w:rsidRPr="00850626">
        <w:t>usnesením č. 1331/2025/RK-28</w:t>
      </w:r>
      <w:r>
        <w:t xml:space="preserve"> a doporučuje zastupitelstvu kraje schválit usnesení v navrhovaném znění. </w:t>
      </w:r>
    </w:p>
    <w:p w14:paraId="45403C4C" w14:textId="77777777" w:rsidR="00367C9B" w:rsidRDefault="00367C9B" w:rsidP="00D67798">
      <w:pPr>
        <w:pStyle w:val="KUJKnormal"/>
      </w:pPr>
    </w:p>
    <w:p w14:paraId="4C56155D" w14:textId="77777777" w:rsidR="00367C9B" w:rsidRDefault="00367C9B" w:rsidP="00D67798">
      <w:pPr>
        <w:pStyle w:val="KUJKnormal"/>
      </w:pPr>
    </w:p>
    <w:p w14:paraId="1D7E5DE4" w14:textId="77777777" w:rsidR="00367C9B" w:rsidRPr="00FE2496" w:rsidRDefault="00367C9B" w:rsidP="00FE2496">
      <w:pPr>
        <w:pStyle w:val="KUJKtucny"/>
        <w:tabs>
          <w:tab w:val="left" w:pos="1134"/>
        </w:tabs>
        <w:rPr>
          <w:b w:val="0"/>
        </w:rPr>
      </w:pPr>
      <w:r w:rsidRPr="00863C3B">
        <w:t>PŘÍLOHY:</w:t>
      </w:r>
      <w:r>
        <w:t xml:space="preserve"> </w:t>
      </w:r>
      <w:r>
        <w:tab/>
      </w:r>
      <w:r w:rsidRPr="00FE2496">
        <w:rPr>
          <w:b w:val="0"/>
        </w:rPr>
        <w:t>bez příloh</w:t>
      </w:r>
    </w:p>
    <w:p w14:paraId="13E4A3C9" w14:textId="77777777" w:rsidR="00367C9B" w:rsidRDefault="00367C9B" w:rsidP="00D67798">
      <w:pPr>
        <w:pStyle w:val="KUJKnormal"/>
      </w:pPr>
    </w:p>
    <w:p w14:paraId="456C1316" w14:textId="77777777" w:rsidR="00367C9B" w:rsidRDefault="00367C9B" w:rsidP="00D67798">
      <w:pPr>
        <w:pStyle w:val="KUJKtucny"/>
      </w:pPr>
    </w:p>
    <w:p w14:paraId="5E250E41" w14:textId="77777777" w:rsidR="00367C9B" w:rsidRPr="007C1EE7" w:rsidRDefault="00367C9B" w:rsidP="00FE2496">
      <w:pPr>
        <w:pStyle w:val="KUJKtucny"/>
        <w:tabs>
          <w:tab w:val="left" w:pos="1276"/>
        </w:tabs>
      </w:pPr>
      <w:r w:rsidRPr="007C1EE7">
        <w:t>Zodpovídá:</w:t>
      </w:r>
      <w:r>
        <w:tab/>
      </w:r>
      <w:r w:rsidRPr="00FE2496">
        <w:rPr>
          <w:b w:val="0"/>
          <w:bCs/>
        </w:rPr>
        <w:t>vedoucí KHEJ – Mgr. Petr Podhola</w:t>
      </w:r>
    </w:p>
    <w:p w14:paraId="4EA0B698" w14:textId="77777777" w:rsidR="00367C9B" w:rsidRDefault="00367C9B" w:rsidP="00D67798">
      <w:pPr>
        <w:pStyle w:val="KUJKnormal"/>
      </w:pPr>
    </w:p>
    <w:p w14:paraId="0689BD0A" w14:textId="77777777" w:rsidR="00367C9B" w:rsidRDefault="00367C9B" w:rsidP="00D67798">
      <w:pPr>
        <w:pStyle w:val="KUJKnormal"/>
      </w:pPr>
    </w:p>
    <w:p w14:paraId="6D25D79C" w14:textId="77777777" w:rsidR="00367C9B" w:rsidRDefault="00367C9B" w:rsidP="00D67798">
      <w:pPr>
        <w:pStyle w:val="KUJKnormal"/>
      </w:pPr>
      <w:r>
        <w:t>Termín kontroly:</w:t>
      </w:r>
      <w:r>
        <w:tab/>
      </w:r>
      <w:r w:rsidRPr="00FE2496">
        <w:t>18. 12. 2025</w:t>
      </w:r>
    </w:p>
    <w:p w14:paraId="5FCD779A" w14:textId="77777777" w:rsidR="00367C9B" w:rsidRDefault="00367C9B" w:rsidP="00D67798">
      <w:pPr>
        <w:pStyle w:val="KUJKnormal"/>
      </w:pPr>
      <w:r>
        <w:t>Termín splnění:</w:t>
      </w:r>
      <w:r>
        <w:tab/>
      </w:r>
      <w:r>
        <w:tab/>
      </w:r>
      <w:r w:rsidRPr="00FE2496">
        <w:t>2026 průběžně</w:t>
      </w:r>
    </w:p>
    <w:p w14:paraId="68723991" w14:textId="77777777" w:rsidR="00367C9B" w:rsidRPr="00BB6565" w:rsidRDefault="00367C9B"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66034"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66034"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C8B9" w14:textId="77777777" w:rsidR="00367C9B" w:rsidRDefault="00367C9B" w:rsidP="00367C9B">
    <w:r>
      <w:rPr>
        <w:noProof/>
      </w:rPr>
      <w:pict w14:anchorId="704ACEC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A6FBF8A" w14:textId="77777777" w:rsidR="00367C9B" w:rsidRPr="00D405BE" w:rsidRDefault="00367C9B" w:rsidP="00367C9B">
                <w:pPr>
                  <w:spacing w:after="60"/>
                  <w:rPr>
                    <w:rFonts w:cs="Arial"/>
                    <w:b/>
                    <w:sz w:val="22"/>
                  </w:rPr>
                </w:pPr>
                <w:r w:rsidRPr="00D405BE">
                  <w:rPr>
                    <w:rFonts w:cs="Arial"/>
                    <w:b/>
                    <w:sz w:val="22"/>
                  </w:rPr>
                  <w:t>ZASTUPITELSTVO JIHOČESKÉHO KRAJE</w:t>
                </w:r>
              </w:p>
              <w:p w14:paraId="4C13D368" w14:textId="77777777" w:rsidR="00367C9B" w:rsidRPr="00D405BE" w:rsidRDefault="00367C9B" w:rsidP="00367C9B">
                <w:pPr>
                  <w:spacing w:after="60"/>
                  <w:rPr>
                    <w:rFonts w:cs="Arial"/>
                    <w:sz w:val="22"/>
                  </w:rPr>
                </w:pPr>
                <w:r w:rsidRPr="00D405BE">
                  <w:rPr>
                    <w:rFonts w:cs="Arial"/>
                    <w:sz w:val="22"/>
                  </w:rPr>
                  <w:t>NÁVRH USNESENÍ</w:t>
                </w:r>
              </w:p>
            </w:txbxContent>
          </v:textbox>
        </v:shape>
      </w:pict>
    </w:r>
    <w:r>
      <w:rPr>
        <w:noProof/>
      </w:rPr>
    </w:r>
    <w:r>
      <w:pict w14:anchorId="0309B4AF">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6656210">
        <v:rect id="_x0000_i1026" style="width:481.9pt;height:2pt" o:hralign="center" o:hrstd="t" o:hrnoshade="t" o:hr="t" fillcolor="black" stroked="f"/>
      </w:pict>
    </w:r>
  </w:p>
  <w:p w14:paraId="345E2F3C" w14:textId="77777777" w:rsidR="00367C9B" w:rsidRPr="00367C9B" w:rsidRDefault="00367C9B" w:rsidP="00367C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596"/>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67C9B"/>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5A4"/>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5912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2025-12-22T09:50:00Z</dcterms:created>
  <dcterms:modified xsi:type="dcterms:W3CDTF">2025-12-22T09:50:00Z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6855844</vt:i4>
  </property>
  <property fmtid="{D5CDD505-2E9C-101B-9397-08002B2CF9AE}" pid="4" name="ID_Navrh">
    <vt:i4>6926064</vt:i4>
  </property>
  <property fmtid="{D5CDD505-2E9C-101B-9397-08002B2CF9AE}" pid="5" name="UlozitJako">
    <vt:lpwstr>C:\Users\mrazkova\AppData\Local\Temp\iU70515080\Zastupitelstvo\2025-12-18\Navrhy\330-ZK-25.</vt:lpwstr>
  </property>
  <property fmtid="{D5CDD505-2E9C-101B-9397-08002B2CF9AE}" pid="6" name="Zpracovat">
    <vt:bool>false</vt:bool>
  </property>
</Properties>
</file>