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21962" w14:paraId="6F6D6285" w14:textId="77777777" w:rsidTr="002C3C83">
        <w:trPr>
          <w:trHeight w:hRule="exact" w:val="397"/>
        </w:trPr>
        <w:tc>
          <w:tcPr>
            <w:tcW w:w="2376" w:type="dxa"/>
            <w:hideMark/>
          </w:tcPr>
          <w:p w14:paraId="2D1040EF" w14:textId="77777777" w:rsidR="00C21962" w:rsidRDefault="00C21962" w:rsidP="00970720">
            <w:pPr>
              <w:pStyle w:val="KUJKtucny"/>
            </w:pPr>
            <w:r>
              <w:t>Datum jednání:</w:t>
            </w:r>
          </w:p>
        </w:tc>
        <w:tc>
          <w:tcPr>
            <w:tcW w:w="3828" w:type="dxa"/>
            <w:hideMark/>
          </w:tcPr>
          <w:p w14:paraId="6397E557" w14:textId="77777777" w:rsidR="00C21962" w:rsidRDefault="00C21962" w:rsidP="00970720">
            <w:pPr>
              <w:pStyle w:val="KUJKnormal"/>
            </w:pPr>
            <w:r>
              <w:t>18. 09. 2025</w:t>
            </w:r>
          </w:p>
        </w:tc>
        <w:tc>
          <w:tcPr>
            <w:tcW w:w="2126" w:type="dxa"/>
            <w:hideMark/>
          </w:tcPr>
          <w:p w14:paraId="5546369C" w14:textId="77777777" w:rsidR="00C21962" w:rsidRDefault="00C21962" w:rsidP="00970720">
            <w:pPr>
              <w:pStyle w:val="KUJKtucny"/>
            </w:pPr>
            <w:r>
              <w:t>Bod programu: 38</w:t>
            </w:r>
          </w:p>
        </w:tc>
        <w:tc>
          <w:tcPr>
            <w:tcW w:w="850" w:type="dxa"/>
          </w:tcPr>
          <w:p w14:paraId="01A9F01E" w14:textId="77777777" w:rsidR="00C21962" w:rsidRDefault="00C21962" w:rsidP="00970720">
            <w:pPr>
              <w:pStyle w:val="KUJKnormal"/>
            </w:pPr>
          </w:p>
        </w:tc>
      </w:tr>
      <w:tr w:rsidR="00C21962" w14:paraId="159E73F8" w14:textId="77777777" w:rsidTr="002C3C83">
        <w:trPr>
          <w:cantSplit/>
          <w:trHeight w:hRule="exact" w:val="397"/>
        </w:trPr>
        <w:tc>
          <w:tcPr>
            <w:tcW w:w="2376" w:type="dxa"/>
            <w:hideMark/>
          </w:tcPr>
          <w:p w14:paraId="52698E4A" w14:textId="77777777" w:rsidR="00C21962" w:rsidRDefault="00C21962" w:rsidP="00970720">
            <w:pPr>
              <w:pStyle w:val="KUJKtucny"/>
            </w:pPr>
            <w:r>
              <w:t>Číslo návrhu:</w:t>
            </w:r>
          </w:p>
        </w:tc>
        <w:tc>
          <w:tcPr>
            <w:tcW w:w="6804" w:type="dxa"/>
            <w:gridSpan w:val="3"/>
            <w:hideMark/>
          </w:tcPr>
          <w:p w14:paraId="36848992" w14:textId="77777777" w:rsidR="00C21962" w:rsidRDefault="00C21962" w:rsidP="00970720">
            <w:pPr>
              <w:pStyle w:val="KUJKnormal"/>
            </w:pPr>
            <w:r>
              <w:t>243/ZK/25</w:t>
            </w:r>
          </w:p>
        </w:tc>
      </w:tr>
      <w:tr w:rsidR="00C21962" w14:paraId="37F8DA1D" w14:textId="77777777" w:rsidTr="002C3C83">
        <w:trPr>
          <w:trHeight w:val="397"/>
        </w:trPr>
        <w:tc>
          <w:tcPr>
            <w:tcW w:w="2376" w:type="dxa"/>
          </w:tcPr>
          <w:p w14:paraId="7AD3A0F8" w14:textId="77777777" w:rsidR="00C21962" w:rsidRDefault="00C21962" w:rsidP="00970720"/>
          <w:p w14:paraId="23D34CEC" w14:textId="77777777" w:rsidR="00C21962" w:rsidRDefault="00C21962" w:rsidP="00970720">
            <w:pPr>
              <w:pStyle w:val="KUJKtucny"/>
            </w:pPr>
            <w:r>
              <w:t>Název bodu:</w:t>
            </w:r>
          </w:p>
        </w:tc>
        <w:tc>
          <w:tcPr>
            <w:tcW w:w="6804" w:type="dxa"/>
            <w:gridSpan w:val="3"/>
          </w:tcPr>
          <w:p w14:paraId="7C3AB2E7" w14:textId="77777777" w:rsidR="00C21962" w:rsidRDefault="00C21962" w:rsidP="00970720"/>
          <w:p w14:paraId="72EE3875" w14:textId="77777777" w:rsidR="00C21962" w:rsidRDefault="00C21962" w:rsidP="00970720">
            <w:pPr>
              <w:pStyle w:val="KUJKtucny"/>
              <w:rPr>
                <w:sz w:val="22"/>
                <w:szCs w:val="22"/>
              </w:rPr>
            </w:pPr>
            <w:r>
              <w:rPr>
                <w:sz w:val="22"/>
                <w:szCs w:val="22"/>
              </w:rPr>
              <w:t>Rozpočet školství - druhá úprava rozpisu rozpočtu v roce 2025</w:t>
            </w:r>
          </w:p>
        </w:tc>
      </w:tr>
    </w:tbl>
    <w:p w14:paraId="60D45CE1" w14:textId="77777777" w:rsidR="00C21962" w:rsidRDefault="00C21962" w:rsidP="002C3C83">
      <w:pPr>
        <w:pStyle w:val="KUJKnormal"/>
        <w:rPr>
          <w:b/>
          <w:bCs/>
        </w:rPr>
      </w:pPr>
      <w:r>
        <w:rPr>
          <w:b/>
          <w:bCs/>
        </w:rPr>
        <w:pict w14:anchorId="49932571">
          <v:rect id="_x0000_i1029" style="width:453.6pt;height:1.5pt" o:hralign="center" o:hrstd="t" o:hrnoshade="t" o:hr="t" fillcolor="black" stroked="f"/>
        </w:pict>
      </w:r>
    </w:p>
    <w:p w14:paraId="4DFC157B" w14:textId="77777777" w:rsidR="00C21962" w:rsidRDefault="00C21962" w:rsidP="002C3C83">
      <w:pPr>
        <w:pStyle w:val="KUJKnormal"/>
      </w:pPr>
    </w:p>
    <w:p w14:paraId="5AD0DF2E" w14:textId="77777777" w:rsidR="00C21962" w:rsidRDefault="00C21962" w:rsidP="002C3C83"/>
    <w:tbl>
      <w:tblPr>
        <w:tblW w:w="0" w:type="auto"/>
        <w:tblCellMar>
          <w:left w:w="70" w:type="dxa"/>
          <w:right w:w="70" w:type="dxa"/>
        </w:tblCellMar>
        <w:tblLook w:val="04A0" w:firstRow="1" w:lastRow="0" w:firstColumn="1" w:lastColumn="0" w:noHBand="0" w:noVBand="1"/>
      </w:tblPr>
      <w:tblGrid>
        <w:gridCol w:w="2350"/>
        <w:gridCol w:w="6862"/>
      </w:tblGrid>
      <w:tr w:rsidR="00C21962" w14:paraId="43E3C62D" w14:textId="77777777" w:rsidTr="002559B8">
        <w:trPr>
          <w:trHeight w:val="397"/>
        </w:trPr>
        <w:tc>
          <w:tcPr>
            <w:tcW w:w="2350" w:type="dxa"/>
            <w:hideMark/>
          </w:tcPr>
          <w:p w14:paraId="1A0EDD33" w14:textId="77777777" w:rsidR="00C21962" w:rsidRDefault="00C21962" w:rsidP="002559B8">
            <w:pPr>
              <w:pStyle w:val="KUJKtucny"/>
            </w:pPr>
            <w:r>
              <w:t>Předkladatel:</w:t>
            </w:r>
          </w:p>
        </w:tc>
        <w:tc>
          <w:tcPr>
            <w:tcW w:w="6862" w:type="dxa"/>
          </w:tcPr>
          <w:p w14:paraId="4748C02C" w14:textId="77777777" w:rsidR="00C21962" w:rsidRDefault="00C21962" w:rsidP="002559B8">
            <w:pPr>
              <w:pStyle w:val="KUJKnormal"/>
            </w:pPr>
            <w:r>
              <w:t>Ing. David Štojdl</w:t>
            </w:r>
          </w:p>
          <w:p w14:paraId="4D013F3C" w14:textId="77777777" w:rsidR="00C21962" w:rsidRDefault="00C21962" w:rsidP="002559B8"/>
        </w:tc>
      </w:tr>
      <w:tr w:rsidR="00C21962" w14:paraId="17F8D19A" w14:textId="77777777" w:rsidTr="002559B8">
        <w:trPr>
          <w:trHeight w:val="397"/>
        </w:trPr>
        <w:tc>
          <w:tcPr>
            <w:tcW w:w="2350" w:type="dxa"/>
          </w:tcPr>
          <w:p w14:paraId="14367CF9" w14:textId="77777777" w:rsidR="00C21962" w:rsidRDefault="00C21962" w:rsidP="002559B8">
            <w:pPr>
              <w:pStyle w:val="KUJKtucny"/>
            </w:pPr>
            <w:r>
              <w:t>Zpracoval:</w:t>
            </w:r>
          </w:p>
          <w:p w14:paraId="09652105" w14:textId="77777777" w:rsidR="00C21962" w:rsidRDefault="00C21962" w:rsidP="002559B8"/>
        </w:tc>
        <w:tc>
          <w:tcPr>
            <w:tcW w:w="6862" w:type="dxa"/>
            <w:hideMark/>
          </w:tcPr>
          <w:p w14:paraId="07B07803" w14:textId="77777777" w:rsidR="00C21962" w:rsidRDefault="00C21962" w:rsidP="002559B8">
            <w:pPr>
              <w:pStyle w:val="KUJKnormal"/>
            </w:pPr>
            <w:r>
              <w:t>OSMT</w:t>
            </w:r>
          </w:p>
        </w:tc>
      </w:tr>
      <w:tr w:rsidR="00C21962" w14:paraId="0D49E9CE" w14:textId="77777777" w:rsidTr="002559B8">
        <w:trPr>
          <w:trHeight w:val="397"/>
        </w:trPr>
        <w:tc>
          <w:tcPr>
            <w:tcW w:w="2350" w:type="dxa"/>
          </w:tcPr>
          <w:p w14:paraId="3F8DB180" w14:textId="77777777" w:rsidR="00C21962" w:rsidRPr="009715F9" w:rsidRDefault="00C21962" w:rsidP="002559B8">
            <w:pPr>
              <w:pStyle w:val="KUJKnormal"/>
              <w:rPr>
                <w:b/>
              </w:rPr>
            </w:pPr>
            <w:r w:rsidRPr="009715F9">
              <w:rPr>
                <w:b/>
              </w:rPr>
              <w:t>Vedoucí odboru:</w:t>
            </w:r>
          </w:p>
          <w:p w14:paraId="39DF49F3" w14:textId="77777777" w:rsidR="00C21962" w:rsidRDefault="00C21962" w:rsidP="002559B8"/>
        </w:tc>
        <w:tc>
          <w:tcPr>
            <w:tcW w:w="6862" w:type="dxa"/>
            <w:hideMark/>
          </w:tcPr>
          <w:p w14:paraId="4624CFEF" w14:textId="77777777" w:rsidR="00C21962" w:rsidRDefault="00C21962" w:rsidP="002559B8">
            <w:pPr>
              <w:pStyle w:val="KUJKnormal"/>
            </w:pPr>
            <w:r>
              <w:t>Ing. Hana Šímová</w:t>
            </w:r>
          </w:p>
        </w:tc>
      </w:tr>
    </w:tbl>
    <w:p w14:paraId="679B3F7A" w14:textId="77777777" w:rsidR="00C21962" w:rsidRDefault="00C21962" w:rsidP="002C3C83">
      <w:pPr>
        <w:pStyle w:val="KUJKnormal"/>
      </w:pPr>
    </w:p>
    <w:p w14:paraId="49DF1BA3" w14:textId="77777777" w:rsidR="00C21962" w:rsidRPr="0052161F" w:rsidRDefault="00C21962" w:rsidP="002C3C83">
      <w:pPr>
        <w:pStyle w:val="KUJKtucny"/>
      </w:pPr>
      <w:r w:rsidRPr="0052161F">
        <w:t>NÁVRH USNESENÍ</w:t>
      </w:r>
    </w:p>
    <w:p w14:paraId="0F3420C6" w14:textId="77777777" w:rsidR="00C21962" w:rsidRDefault="00C21962" w:rsidP="002C3C83">
      <w:pPr>
        <w:pStyle w:val="KUJKnormal"/>
        <w:rPr>
          <w:rFonts w:ascii="Calibri" w:hAnsi="Calibri" w:cs="Calibri"/>
          <w:sz w:val="12"/>
          <w:szCs w:val="12"/>
        </w:rPr>
      </w:pPr>
      <w:bookmarkStart w:id="0" w:name="US_ZaVeVeci"/>
      <w:bookmarkEnd w:id="0"/>
    </w:p>
    <w:p w14:paraId="5DD9F643" w14:textId="77777777" w:rsidR="00C21962" w:rsidRPr="00841DFC" w:rsidRDefault="00C21962" w:rsidP="002C3C83">
      <w:pPr>
        <w:pStyle w:val="KUJKPolozka"/>
        <w:spacing w:line="240" w:lineRule="auto"/>
      </w:pPr>
      <w:r w:rsidRPr="00841DFC">
        <w:t>Zastupitelstvo Jihočeského kraje</w:t>
      </w:r>
    </w:p>
    <w:p w14:paraId="0DC95A3C" w14:textId="77777777" w:rsidR="00C21962" w:rsidRDefault="00C21962" w:rsidP="00F7496B">
      <w:pPr>
        <w:pStyle w:val="KUJKdoplnek2"/>
        <w:numPr>
          <w:ilvl w:val="0"/>
          <w:numId w:val="0"/>
        </w:numPr>
        <w:spacing w:line="240" w:lineRule="auto"/>
        <w:ind w:left="360" w:hanging="360"/>
      </w:pPr>
      <w:r w:rsidRPr="00730306">
        <w:t>bere na vědomí</w:t>
      </w:r>
    </w:p>
    <w:p w14:paraId="009766E0" w14:textId="77777777" w:rsidR="00C21962" w:rsidRDefault="00C21962" w:rsidP="002C3C83">
      <w:pPr>
        <w:pStyle w:val="KUJKnormal"/>
      </w:pPr>
      <w:r w:rsidRPr="00AF20B8">
        <w:t>vědomí druhou úpravu rozpisu rozpočtu přímých výdajů regionálního školství Jihočeského kraje v roce 2025 jednotlivým školám a školským zařízením zřizovaným krajem, obcí nebo dobrovolným svazkem obcí Jihočeského kraje, v rámci výkonu přenesené působnosti dané Ministerstvem školství, mládeže a</w:t>
      </w:r>
      <w:r>
        <w:t> </w:t>
      </w:r>
      <w:r w:rsidRPr="00AF20B8">
        <w:t>tělovýchovy v souladu s § 161c odst. 9 zákona č. 561/2004 Sb., o předškolním, základním, středním, vyšším odborném a jiném vzdělávání, ve znění pozdějších předpisů</w:t>
      </w:r>
      <w:r>
        <w:t xml:space="preserve">, dle důvodové zprávy a přílohy návrhu č. 243/ZK/25. </w:t>
      </w:r>
    </w:p>
    <w:p w14:paraId="4B523FE5" w14:textId="77777777" w:rsidR="00C21962" w:rsidRDefault="00C21962" w:rsidP="002C3C83">
      <w:pPr>
        <w:pStyle w:val="KUJKnormal"/>
      </w:pPr>
    </w:p>
    <w:p w14:paraId="2D6A0797" w14:textId="77777777" w:rsidR="00C21962" w:rsidRDefault="00C21962" w:rsidP="00F7496B">
      <w:pPr>
        <w:pStyle w:val="KUJKmezeraDZ"/>
      </w:pPr>
      <w:bookmarkStart w:id="1" w:name="US_DuvodZprava"/>
      <w:bookmarkEnd w:id="1"/>
    </w:p>
    <w:p w14:paraId="57B1F12A" w14:textId="77777777" w:rsidR="00C21962" w:rsidRDefault="00C21962" w:rsidP="00F7496B">
      <w:pPr>
        <w:pStyle w:val="KUJKnadpisDZ"/>
      </w:pPr>
      <w:r>
        <w:t>DŮVODOVÁ ZPRÁVA</w:t>
      </w:r>
    </w:p>
    <w:p w14:paraId="607DB2C5" w14:textId="77777777" w:rsidR="00C21962" w:rsidRPr="009B7B0B" w:rsidRDefault="00C21962" w:rsidP="00F7496B">
      <w:pPr>
        <w:pStyle w:val="KUJKmezeraDZ"/>
      </w:pPr>
    </w:p>
    <w:p w14:paraId="51401997" w14:textId="77777777" w:rsidR="00C21962" w:rsidRDefault="00C21962" w:rsidP="00AF20B8">
      <w:pPr>
        <w:jc w:val="both"/>
        <w:rPr>
          <w:sz w:val="19"/>
          <w:szCs w:val="28"/>
        </w:rPr>
      </w:pPr>
      <w:r>
        <w:rPr>
          <w:sz w:val="19"/>
          <w:szCs w:val="28"/>
        </w:rPr>
        <w:t>Zákon č. 561/2004 Sb., o předškolním, základním, středním, vyšším odborném a jiném vzdělávání (školský zákon), v platném znění, ukládá krajskému úřadu v § 161c odst. 9 o rozpisu a přidělení finančních prostředků následně informovat zastupitelstvo kraje.</w:t>
      </w:r>
      <w:r>
        <w:t xml:space="preserve"> </w:t>
      </w:r>
      <w:r>
        <w:rPr>
          <w:sz w:val="19"/>
          <w:szCs w:val="28"/>
        </w:rPr>
        <w:t>Směrnice č. j. MSMT-12077/2024 o závazných zásadách pro rozpisy a návrhy rozpisů finančních prostředků státního rozpočtu krajskými úřady a obecními úřady obcí s rozšířenou působností, v platném znění (dále jen „směrnice“), podle které postupuje krajský úřad při rozpisu rozpočtu přímých výdajů ze státního rozpočtu a jeho úpravách a poskytování finančních prostředků.</w:t>
      </w:r>
    </w:p>
    <w:p w14:paraId="23229085" w14:textId="77777777" w:rsidR="00C21962" w:rsidRDefault="00C21962" w:rsidP="00AF20B8">
      <w:pPr>
        <w:jc w:val="both"/>
        <w:rPr>
          <w:sz w:val="19"/>
          <w:szCs w:val="28"/>
        </w:rPr>
      </w:pPr>
    </w:p>
    <w:p w14:paraId="000F0FEB" w14:textId="77777777" w:rsidR="00C21962" w:rsidRDefault="00C21962" w:rsidP="00AF20B8">
      <w:pPr>
        <w:jc w:val="both"/>
        <w:rPr>
          <w:sz w:val="19"/>
          <w:szCs w:val="28"/>
        </w:rPr>
      </w:pPr>
    </w:p>
    <w:p w14:paraId="5CE2566D" w14:textId="77777777" w:rsidR="00C21962" w:rsidRDefault="00C21962" w:rsidP="00AF20B8">
      <w:pPr>
        <w:jc w:val="both"/>
        <w:rPr>
          <w:sz w:val="19"/>
          <w:szCs w:val="28"/>
        </w:rPr>
      </w:pPr>
    </w:p>
    <w:p w14:paraId="721A8C4E" w14:textId="77777777" w:rsidR="00C21962" w:rsidRDefault="00C21962" w:rsidP="00AF20B8">
      <w:pPr>
        <w:jc w:val="both"/>
        <w:rPr>
          <w:sz w:val="19"/>
          <w:szCs w:val="28"/>
        </w:rPr>
      </w:pPr>
      <w:r>
        <w:rPr>
          <w:sz w:val="19"/>
          <w:szCs w:val="28"/>
        </w:rPr>
        <w:t>1. Úprava rozpisu rozpočtu na základě Výkazů R44-99 – podpůrná opatření</w:t>
      </w:r>
    </w:p>
    <w:p w14:paraId="7F858BB6" w14:textId="77777777" w:rsidR="00C21962" w:rsidRDefault="00C21962" w:rsidP="00AF20B8">
      <w:pPr>
        <w:jc w:val="both"/>
        <w:rPr>
          <w:sz w:val="19"/>
          <w:szCs w:val="28"/>
        </w:rPr>
      </w:pPr>
      <w:r>
        <w:rPr>
          <w:sz w:val="19"/>
          <w:szCs w:val="28"/>
        </w:rPr>
        <w:t>Dle čl. VII směrnice je krajský úřad povinen rozepsat finanční prostředky na přímé výdaje a ONIV ze státního rozpočtu na podpůrná opatření podle § 16 školského zákona, která uvedou školy a školská zařízení ve Výkazu R44-99 v průběhu kalendářního roku v případě, že na ně požadují finanční prostředky. Dále krajský úřad plní i informační funkci, tedy v pravidelných měsíčních intervalech zasílá jednotlivým dotčeným školám a školským zařízením informační dopis ohledně vykázaných podpůrných opatření, ve kterém avizuje školám strukturu a počet podpůrných opatření za vykazovací období a příslušnou částku v Kč, která bude škole přiznána v nejbližší úpravě rozpisu rozpočtu přímých výdajů. V této úpravě rozpisu rozpočtu jsou zohledněna podpůrná opatření za měsíce duben a květen.</w:t>
      </w:r>
    </w:p>
    <w:p w14:paraId="414DBD3A" w14:textId="77777777" w:rsidR="00C21962" w:rsidRDefault="00C21962" w:rsidP="00AF20B8">
      <w:pPr>
        <w:jc w:val="both"/>
        <w:rPr>
          <w:sz w:val="19"/>
          <w:szCs w:val="28"/>
        </w:rPr>
      </w:pPr>
    </w:p>
    <w:p w14:paraId="5E613A80" w14:textId="77777777" w:rsidR="00C21962" w:rsidRDefault="00C21962" w:rsidP="00AF20B8">
      <w:pPr>
        <w:jc w:val="both"/>
        <w:rPr>
          <w:sz w:val="19"/>
          <w:szCs w:val="28"/>
        </w:rPr>
      </w:pPr>
      <w:r>
        <w:rPr>
          <w:sz w:val="19"/>
          <w:szCs w:val="28"/>
        </w:rPr>
        <w:t>Tab. 1 – Úprava rozpočtu přímých výdajů dle Výkazu R44-99 za měsíce duben a květen v roce 2025</w:t>
      </w:r>
    </w:p>
    <w:tbl>
      <w:tblPr>
        <w:tblW w:w="9585" w:type="dxa"/>
        <w:tblInd w:w="70" w:type="dxa"/>
        <w:tblLayout w:type="fixed"/>
        <w:tblCellMar>
          <w:left w:w="70" w:type="dxa"/>
          <w:right w:w="70" w:type="dxa"/>
        </w:tblCellMar>
        <w:tblLook w:val="04A0" w:firstRow="1" w:lastRow="0" w:firstColumn="1" w:lastColumn="0" w:noHBand="0" w:noVBand="1"/>
      </w:tblPr>
      <w:tblGrid>
        <w:gridCol w:w="1817"/>
        <w:gridCol w:w="1653"/>
        <w:gridCol w:w="1818"/>
        <w:gridCol w:w="1653"/>
        <w:gridCol w:w="1322"/>
        <w:gridCol w:w="1322"/>
      </w:tblGrid>
      <w:tr w:rsidR="00C21962" w14:paraId="5A7C7764" w14:textId="77777777" w:rsidTr="00AF20B8">
        <w:trPr>
          <w:trHeight w:val="242"/>
        </w:trPr>
        <w:tc>
          <w:tcPr>
            <w:tcW w:w="1817" w:type="dxa"/>
            <w:tcBorders>
              <w:top w:val="nil"/>
              <w:left w:val="nil"/>
              <w:bottom w:val="single" w:sz="8" w:space="0" w:color="auto"/>
              <w:right w:val="single" w:sz="8" w:space="0" w:color="auto"/>
            </w:tcBorders>
            <w:noWrap/>
            <w:vAlign w:val="bottom"/>
            <w:hideMark/>
          </w:tcPr>
          <w:p w14:paraId="530E37EF" w14:textId="77777777" w:rsidR="00C21962" w:rsidRDefault="00C21962">
            <w:pPr>
              <w:jc w:val="both"/>
              <w:rPr>
                <w:sz w:val="19"/>
                <w:szCs w:val="28"/>
              </w:rPr>
            </w:pPr>
            <w:r>
              <w:rPr>
                <w:sz w:val="19"/>
                <w:szCs w:val="28"/>
              </w:rPr>
              <w:t> </w:t>
            </w:r>
          </w:p>
        </w:tc>
        <w:tc>
          <w:tcPr>
            <w:tcW w:w="3471" w:type="dxa"/>
            <w:gridSpan w:val="2"/>
            <w:tcBorders>
              <w:top w:val="single" w:sz="8" w:space="0" w:color="auto"/>
              <w:left w:val="nil"/>
              <w:bottom w:val="single" w:sz="8" w:space="0" w:color="auto"/>
              <w:right w:val="single" w:sz="8" w:space="0" w:color="000000"/>
            </w:tcBorders>
            <w:noWrap/>
            <w:vAlign w:val="bottom"/>
            <w:hideMark/>
          </w:tcPr>
          <w:p w14:paraId="6384BA31" w14:textId="77777777" w:rsidR="00C21962" w:rsidRDefault="00C21962">
            <w:pPr>
              <w:jc w:val="center"/>
              <w:rPr>
                <w:sz w:val="19"/>
                <w:szCs w:val="28"/>
                <w:lang w:val="en-US"/>
              </w:rPr>
            </w:pPr>
            <w:r>
              <w:rPr>
                <w:sz w:val="19"/>
                <w:szCs w:val="28"/>
                <w:lang w:val="en-US"/>
              </w:rPr>
              <w:t>Závazný ukazatel</w:t>
            </w:r>
          </w:p>
        </w:tc>
        <w:tc>
          <w:tcPr>
            <w:tcW w:w="4297" w:type="dxa"/>
            <w:gridSpan w:val="3"/>
            <w:tcBorders>
              <w:top w:val="single" w:sz="8" w:space="0" w:color="auto"/>
              <w:left w:val="nil"/>
              <w:bottom w:val="single" w:sz="8" w:space="0" w:color="auto"/>
              <w:right w:val="single" w:sz="8" w:space="0" w:color="000000"/>
            </w:tcBorders>
            <w:vAlign w:val="bottom"/>
            <w:hideMark/>
          </w:tcPr>
          <w:p w14:paraId="75E7D8FE" w14:textId="77777777" w:rsidR="00C21962" w:rsidRDefault="00C21962">
            <w:pPr>
              <w:jc w:val="center"/>
              <w:rPr>
                <w:sz w:val="19"/>
                <w:szCs w:val="28"/>
                <w:lang w:val="en-US"/>
              </w:rPr>
            </w:pPr>
            <w:r>
              <w:rPr>
                <w:sz w:val="19"/>
                <w:szCs w:val="28"/>
                <w:lang w:val="en-US"/>
              </w:rPr>
              <w:t>Orientační ukazatele</w:t>
            </w:r>
          </w:p>
        </w:tc>
      </w:tr>
      <w:tr w:rsidR="00C21962" w14:paraId="00C53C56" w14:textId="77777777" w:rsidTr="00AF20B8">
        <w:trPr>
          <w:trHeight w:val="242"/>
        </w:trPr>
        <w:tc>
          <w:tcPr>
            <w:tcW w:w="1817" w:type="dxa"/>
            <w:vMerge w:val="restart"/>
            <w:tcBorders>
              <w:top w:val="nil"/>
              <w:left w:val="single" w:sz="8" w:space="0" w:color="auto"/>
              <w:bottom w:val="single" w:sz="8" w:space="0" w:color="000000"/>
              <w:right w:val="single" w:sz="8" w:space="0" w:color="auto"/>
            </w:tcBorders>
            <w:noWrap/>
            <w:vAlign w:val="bottom"/>
            <w:hideMark/>
          </w:tcPr>
          <w:p w14:paraId="73FD1F8D" w14:textId="77777777" w:rsidR="00C21962" w:rsidRDefault="00C21962">
            <w:pPr>
              <w:jc w:val="both"/>
              <w:rPr>
                <w:sz w:val="19"/>
                <w:szCs w:val="28"/>
                <w:lang w:val="en-US"/>
              </w:rPr>
            </w:pPr>
            <w:r>
              <w:rPr>
                <w:sz w:val="19"/>
                <w:szCs w:val="28"/>
                <w:lang w:val="en-US"/>
              </w:rPr>
              <w:t>Měsíc v roce 2025</w:t>
            </w:r>
          </w:p>
        </w:tc>
        <w:tc>
          <w:tcPr>
            <w:tcW w:w="1653" w:type="dxa"/>
            <w:tcBorders>
              <w:top w:val="nil"/>
              <w:left w:val="nil"/>
              <w:bottom w:val="nil"/>
              <w:right w:val="single" w:sz="8" w:space="0" w:color="auto"/>
            </w:tcBorders>
            <w:noWrap/>
            <w:vAlign w:val="bottom"/>
            <w:hideMark/>
          </w:tcPr>
          <w:p w14:paraId="50B05776" w14:textId="77777777" w:rsidR="00C21962" w:rsidRDefault="00C21962">
            <w:pPr>
              <w:jc w:val="center"/>
              <w:rPr>
                <w:sz w:val="19"/>
                <w:szCs w:val="28"/>
                <w:lang w:val="en-US"/>
              </w:rPr>
            </w:pPr>
            <w:r>
              <w:rPr>
                <w:sz w:val="19"/>
                <w:szCs w:val="28"/>
                <w:lang w:val="en-US"/>
              </w:rPr>
              <w:t>NIV</w:t>
            </w:r>
          </w:p>
        </w:tc>
        <w:tc>
          <w:tcPr>
            <w:tcW w:w="1818" w:type="dxa"/>
            <w:tcBorders>
              <w:top w:val="single" w:sz="8" w:space="0" w:color="auto"/>
              <w:left w:val="nil"/>
              <w:bottom w:val="nil"/>
              <w:right w:val="single" w:sz="8" w:space="0" w:color="000000"/>
            </w:tcBorders>
            <w:noWrap/>
            <w:vAlign w:val="bottom"/>
            <w:hideMark/>
          </w:tcPr>
          <w:p w14:paraId="181831CC" w14:textId="77777777" w:rsidR="00C21962" w:rsidRDefault="00C21962">
            <w:pPr>
              <w:jc w:val="center"/>
              <w:rPr>
                <w:sz w:val="19"/>
                <w:szCs w:val="28"/>
                <w:lang w:val="en-US"/>
              </w:rPr>
            </w:pPr>
            <w:r>
              <w:rPr>
                <w:sz w:val="19"/>
                <w:szCs w:val="28"/>
                <w:lang w:val="en-US"/>
              </w:rPr>
              <w:t>MP</w:t>
            </w:r>
          </w:p>
        </w:tc>
        <w:tc>
          <w:tcPr>
            <w:tcW w:w="2975" w:type="dxa"/>
            <w:gridSpan w:val="2"/>
            <w:tcBorders>
              <w:top w:val="single" w:sz="8" w:space="0" w:color="auto"/>
              <w:left w:val="nil"/>
              <w:bottom w:val="single" w:sz="8" w:space="0" w:color="auto"/>
              <w:right w:val="single" w:sz="8" w:space="0" w:color="000000"/>
            </w:tcBorders>
            <w:noWrap/>
            <w:vAlign w:val="bottom"/>
            <w:hideMark/>
          </w:tcPr>
          <w:p w14:paraId="733B101C" w14:textId="77777777" w:rsidR="00C21962" w:rsidRDefault="00C21962">
            <w:pPr>
              <w:jc w:val="center"/>
              <w:rPr>
                <w:sz w:val="19"/>
                <w:szCs w:val="28"/>
                <w:lang w:val="en-US"/>
              </w:rPr>
            </w:pPr>
            <w:r>
              <w:rPr>
                <w:sz w:val="19"/>
                <w:szCs w:val="28"/>
                <w:lang w:val="en-US"/>
              </w:rPr>
              <w:t>Odvody</w:t>
            </w:r>
          </w:p>
        </w:tc>
        <w:tc>
          <w:tcPr>
            <w:tcW w:w="1322" w:type="dxa"/>
            <w:tcBorders>
              <w:top w:val="nil"/>
              <w:left w:val="nil"/>
              <w:bottom w:val="nil"/>
              <w:right w:val="single" w:sz="8" w:space="0" w:color="auto"/>
            </w:tcBorders>
            <w:vAlign w:val="bottom"/>
            <w:hideMark/>
          </w:tcPr>
          <w:p w14:paraId="3BE5FA6F" w14:textId="77777777" w:rsidR="00C21962" w:rsidRDefault="00C21962">
            <w:pPr>
              <w:jc w:val="center"/>
              <w:rPr>
                <w:sz w:val="19"/>
                <w:szCs w:val="28"/>
                <w:lang w:val="en-US"/>
              </w:rPr>
            </w:pPr>
            <w:r>
              <w:rPr>
                <w:sz w:val="19"/>
                <w:szCs w:val="28"/>
                <w:lang w:val="en-US"/>
              </w:rPr>
              <w:t>ONIV</w:t>
            </w:r>
          </w:p>
        </w:tc>
      </w:tr>
      <w:tr w:rsidR="00C21962" w14:paraId="0B76C432" w14:textId="77777777" w:rsidTr="00AF20B8">
        <w:trPr>
          <w:trHeight w:val="230"/>
        </w:trPr>
        <w:tc>
          <w:tcPr>
            <w:tcW w:w="1817" w:type="dxa"/>
            <w:vMerge/>
            <w:tcBorders>
              <w:top w:val="nil"/>
              <w:left w:val="single" w:sz="8" w:space="0" w:color="auto"/>
              <w:bottom w:val="single" w:sz="8" w:space="0" w:color="000000"/>
              <w:right w:val="single" w:sz="8" w:space="0" w:color="auto"/>
            </w:tcBorders>
            <w:vAlign w:val="center"/>
            <w:hideMark/>
          </w:tcPr>
          <w:p w14:paraId="29A851B6" w14:textId="77777777" w:rsidR="00C21962" w:rsidRDefault="00C21962">
            <w:pPr>
              <w:spacing w:line="240" w:lineRule="auto"/>
              <w:rPr>
                <w:sz w:val="19"/>
                <w:szCs w:val="28"/>
                <w:lang w:val="en-US"/>
              </w:rPr>
            </w:pPr>
          </w:p>
        </w:tc>
        <w:tc>
          <w:tcPr>
            <w:tcW w:w="1653" w:type="dxa"/>
            <w:vMerge w:val="restart"/>
            <w:tcBorders>
              <w:top w:val="single" w:sz="8" w:space="0" w:color="auto"/>
              <w:left w:val="single" w:sz="8" w:space="0" w:color="auto"/>
              <w:bottom w:val="single" w:sz="8" w:space="0" w:color="000000"/>
              <w:right w:val="single" w:sz="8" w:space="0" w:color="auto"/>
            </w:tcBorders>
            <w:noWrap/>
            <w:vAlign w:val="bottom"/>
            <w:hideMark/>
          </w:tcPr>
          <w:p w14:paraId="39537BE0" w14:textId="77777777" w:rsidR="00C21962" w:rsidRDefault="00C21962">
            <w:pPr>
              <w:jc w:val="center"/>
              <w:rPr>
                <w:sz w:val="19"/>
                <w:szCs w:val="28"/>
                <w:lang w:val="en-US"/>
              </w:rPr>
            </w:pPr>
            <w:r>
              <w:rPr>
                <w:sz w:val="19"/>
                <w:szCs w:val="28"/>
                <w:lang w:val="en-US"/>
              </w:rPr>
              <w:t>celkem</w:t>
            </w:r>
          </w:p>
        </w:tc>
        <w:tc>
          <w:tcPr>
            <w:tcW w:w="1818" w:type="dxa"/>
            <w:tcBorders>
              <w:top w:val="single" w:sz="8" w:space="0" w:color="auto"/>
              <w:left w:val="nil"/>
              <w:bottom w:val="nil"/>
              <w:right w:val="single" w:sz="8" w:space="0" w:color="auto"/>
            </w:tcBorders>
            <w:noWrap/>
            <w:vAlign w:val="bottom"/>
            <w:hideMark/>
          </w:tcPr>
          <w:p w14:paraId="52C40DAA" w14:textId="77777777" w:rsidR="00C21962" w:rsidRDefault="00C21962">
            <w:pPr>
              <w:rPr>
                <w:sz w:val="19"/>
                <w:szCs w:val="28"/>
                <w:lang w:val="en-US"/>
              </w:rPr>
            </w:pPr>
          </w:p>
        </w:tc>
        <w:tc>
          <w:tcPr>
            <w:tcW w:w="1653" w:type="dxa"/>
            <w:vMerge w:val="restart"/>
            <w:tcBorders>
              <w:top w:val="nil"/>
              <w:left w:val="nil"/>
              <w:bottom w:val="single" w:sz="8" w:space="0" w:color="000000"/>
              <w:right w:val="single" w:sz="8" w:space="0" w:color="auto"/>
            </w:tcBorders>
            <w:noWrap/>
            <w:vAlign w:val="bottom"/>
            <w:hideMark/>
          </w:tcPr>
          <w:p w14:paraId="464D0747" w14:textId="77777777" w:rsidR="00C21962" w:rsidRDefault="00C21962">
            <w:pPr>
              <w:jc w:val="center"/>
              <w:rPr>
                <w:sz w:val="19"/>
                <w:szCs w:val="28"/>
                <w:lang w:val="en-US"/>
              </w:rPr>
            </w:pPr>
            <w:r>
              <w:rPr>
                <w:sz w:val="19"/>
                <w:szCs w:val="28"/>
                <w:lang w:val="en-US"/>
              </w:rPr>
              <w:t>pojistné</w:t>
            </w:r>
          </w:p>
        </w:tc>
        <w:tc>
          <w:tcPr>
            <w:tcW w:w="1322" w:type="dxa"/>
            <w:vMerge w:val="restart"/>
            <w:tcBorders>
              <w:top w:val="nil"/>
              <w:left w:val="single" w:sz="8" w:space="0" w:color="auto"/>
              <w:bottom w:val="single" w:sz="8" w:space="0" w:color="000000"/>
              <w:right w:val="single" w:sz="8" w:space="0" w:color="auto"/>
            </w:tcBorders>
            <w:noWrap/>
            <w:vAlign w:val="bottom"/>
            <w:hideMark/>
          </w:tcPr>
          <w:p w14:paraId="141D0470" w14:textId="77777777" w:rsidR="00C21962" w:rsidRDefault="00C21962">
            <w:pPr>
              <w:jc w:val="center"/>
              <w:rPr>
                <w:sz w:val="19"/>
                <w:szCs w:val="28"/>
                <w:lang w:val="en-US"/>
              </w:rPr>
            </w:pPr>
            <w:r>
              <w:rPr>
                <w:sz w:val="19"/>
                <w:szCs w:val="28"/>
                <w:lang w:val="en-US"/>
              </w:rPr>
              <w:t>FKSP</w:t>
            </w:r>
          </w:p>
        </w:tc>
        <w:tc>
          <w:tcPr>
            <w:tcW w:w="1322" w:type="dxa"/>
            <w:vMerge w:val="restart"/>
            <w:tcBorders>
              <w:top w:val="nil"/>
              <w:left w:val="single" w:sz="8" w:space="0" w:color="auto"/>
              <w:bottom w:val="single" w:sz="8" w:space="0" w:color="000000"/>
              <w:right w:val="single" w:sz="8" w:space="0" w:color="auto"/>
            </w:tcBorders>
            <w:vAlign w:val="bottom"/>
            <w:hideMark/>
          </w:tcPr>
          <w:p w14:paraId="384007C4" w14:textId="77777777" w:rsidR="00C21962" w:rsidRDefault="00C21962">
            <w:pPr>
              <w:rPr>
                <w:sz w:val="19"/>
                <w:szCs w:val="28"/>
                <w:lang w:val="en-US"/>
              </w:rPr>
            </w:pPr>
          </w:p>
        </w:tc>
      </w:tr>
      <w:tr w:rsidR="00C21962" w14:paraId="3E136B0C" w14:textId="77777777" w:rsidTr="00AF20B8">
        <w:trPr>
          <w:trHeight w:val="242"/>
        </w:trPr>
        <w:tc>
          <w:tcPr>
            <w:tcW w:w="1817" w:type="dxa"/>
            <w:vMerge/>
            <w:tcBorders>
              <w:top w:val="nil"/>
              <w:left w:val="single" w:sz="8" w:space="0" w:color="auto"/>
              <w:bottom w:val="single" w:sz="8" w:space="0" w:color="000000"/>
              <w:right w:val="single" w:sz="8" w:space="0" w:color="auto"/>
            </w:tcBorders>
            <w:vAlign w:val="center"/>
            <w:hideMark/>
          </w:tcPr>
          <w:p w14:paraId="66516B68" w14:textId="77777777" w:rsidR="00C21962" w:rsidRDefault="00C21962">
            <w:pPr>
              <w:spacing w:line="240" w:lineRule="auto"/>
              <w:rPr>
                <w:sz w:val="19"/>
                <w:szCs w:val="28"/>
                <w:lang w:val="en-US"/>
              </w:rPr>
            </w:pPr>
          </w:p>
        </w:tc>
        <w:tc>
          <w:tcPr>
            <w:tcW w:w="3471" w:type="dxa"/>
            <w:vMerge/>
            <w:tcBorders>
              <w:top w:val="single" w:sz="8" w:space="0" w:color="auto"/>
              <w:left w:val="single" w:sz="8" w:space="0" w:color="auto"/>
              <w:bottom w:val="single" w:sz="8" w:space="0" w:color="000000"/>
              <w:right w:val="single" w:sz="8" w:space="0" w:color="auto"/>
            </w:tcBorders>
            <w:vAlign w:val="center"/>
            <w:hideMark/>
          </w:tcPr>
          <w:p w14:paraId="5C926C4A" w14:textId="77777777" w:rsidR="00C21962" w:rsidRDefault="00C21962">
            <w:pPr>
              <w:spacing w:line="240" w:lineRule="auto"/>
              <w:rPr>
                <w:sz w:val="19"/>
                <w:szCs w:val="28"/>
                <w:lang w:val="en-US"/>
              </w:rPr>
            </w:pPr>
          </w:p>
        </w:tc>
        <w:tc>
          <w:tcPr>
            <w:tcW w:w="1818" w:type="dxa"/>
            <w:tcBorders>
              <w:top w:val="nil"/>
              <w:left w:val="nil"/>
              <w:bottom w:val="single" w:sz="8" w:space="0" w:color="auto"/>
              <w:right w:val="single" w:sz="8" w:space="0" w:color="auto"/>
            </w:tcBorders>
            <w:noWrap/>
            <w:vAlign w:val="bottom"/>
            <w:hideMark/>
          </w:tcPr>
          <w:p w14:paraId="78514838" w14:textId="77777777" w:rsidR="00C21962" w:rsidRDefault="00C21962">
            <w:pPr>
              <w:jc w:val="center"/>
              <w:rPr>
                <w:sz w:val="19"/>
                <w:szCs w:val="28"/>
                <w:lang w:val="en-US"/>
              </w:rPr>
            </w:pPr>
            <w:r>
              <w:rPr>
                <w:sz w:val="19"/>
                <w:szCs w:val="28"/>
                <w:lang w:val="en-US"/>
              </w:rPr>
              <w:t>platy</w:t>
            </w:r>
          </w:p>
        </w:tc>
        <w:tc>
          <w:tcPr>
            <w:tcW w:w="4297" w:type="dxa"/>
            <w:vMerge/>
            <w:tcBorders>
              <w:top w:val="nil"/>
              <w:left w:val="nil"/>
              <w:bottom w:val="single" w:sz="8" w:space="0" w:color="000000"/>
              <w:right w:val="single" w:sz="8" w:space="0" w:color="auto"/>
            </w:tcBorders>
            <w:vAlign w:val="center"/>
            <w:hideMark/>
          </w:tcPr>
          <w:p w14:paraId="614C776A" w14:textId="77777777" w:rsidR="00C21962" w:rsidRDefault="00C21962">
            <w:pPr>
              <w:spacing w:line="240" w:lineRule="auto"/>
              <w:rPr>
                <w:sz w:val="19"/>
                <w:szCs w:val="28"/>
                <w:lang w:val="en-US"/>
              </w:rPr>
            </w:pPr>
          </w:p>
        </w:tc>
        <w:tc>
          <w:tcPr>
            <w:tcW w:w="1322" w:type="dxa"/>
            <w:vMerge/>
            <w:tcBorders>
              <w:top w:val="nil"/>
              <w:left w:val="single" w:sz="8" w:space="0" w:color="auto"/>
              <w:bottom w:val="single" w:sz="8" w:space="0" w:color="000000"/>
              <w:right w:val="single" w:sz="8" w:space="0" w:color="auto"/>
            </w:tcBorders>
            <w:vAlign w:val="center"/>
            <w:hideMark/>
          </w:tcPr>
          <w:p w14:paraId="4D8E0D13" w14:textId="77777777" w:rsidR="00C21962" w:rsidRDefault="00C21962">
            <w:pPr>
              <w:spacing w:line="240" w:lineRule="auto"/>
              <w:rPr>
                <w:sz w:val="19"/>
                <w:szCs w:val="28"/>
                <w:lang w:val="en-US"/>
              </w:rPr>
            </w:pPr>
          </w:p>
        </w:tc>
        <w:tc>
          <w:tcPr>
            <w:tcW w:w="1322" w:type="dxa"/>
            <w:vMerge/>
            <w:tcBorders>
              <w:top w:val="nil"/>
              <w:left w:val="single" w:sz="8" w:space="0" w:color="auto"/>
              <w:bottom w:val="single" w:sz="8" w:space="0" w:color="000000"/>
              <w:right w:val="single" w:sz="8" w:space="0" w:color="auto"/>
            </w:tcBorders>
            <w:vAlign w:val="center"/>
            <w:hideMark/>
          </w:tcPr>
          <w:p w14:paraId="5D987D7F" w14:textId="77777777" w:rsidR="00C21962" w:rsidRDefault="00C21962">
            <w:pPr>
              <w:spacing w:line="240" w:lineRule="auto"/>
              <w:rPr>
                <w:sz w:val="19"/>
                <w:szCs w:val="28"/>
                <w:lang w:val="en-US"/>
              </w:rPr>
            </w:pPr>
          </w:p>
        </w:tc>
      </w:tr>
      <w:tr w:rsidR="00C21962" w14:paraId="0A17833C" w14:textId="77777777" w:rsidTr="00AF20B8">
        <w:trPr>
          <w:trHeight w:val="242"/>
        </w:trPr>
        <w:tc>
          <w:tcPr>
            <w:tcW w:w="1817" w:type="dxa"/>
            <w:vMerge/>
            <w:tcBorders>
              <w:top w:val="nil"/>
              <w:left w:val="single" w:sz="8" w:space="0" w:color="auto"/>
              <w:bottom w:val="single" w:sz="8" w:space="0" w:color="000000"/>
              <w:right w:val="single" w:sz="8" w:space="0" w:color="auto"/>
            </w:tcBorders>
            <w:vAlign w:val="center"/>
            <w:hideMark/>
          </w:tcPr>
          <w:p w14:paraId="09FE7325" w14:textId="77777777" w:rsidR="00C21962" w:rsidRDefault="00C21962">
            <w:pPr>
              <w:spacing w:line="240" w:lineRule="auto"/>
              <w:rPr>
                <w:sz w:val="19"/>
                <w:szCs w:val="28"/>
                <w:lang w:val="en-US"/>
              </w:rPr>
            </w:pPr>
          </w:p>
        </w:tc>
        <w:tc>
          <w:tcPr>
            <w:tcW w:w="1653" w:type="dxa"/>
            <w:tcBorders>
              <w:top w:val="nil"/>
              <w:left w:val="nil"/>
              <w:bottom w:val="single" w:sz="8" w:space="0" w:color="auto"/>
              <w:right w:val="single" w:sz="8" w:space="0" w:color="auto"/>
            </w:tcBorders>
            <w:noWrap/>
            <w:vAlign w:val="bottom"/>
            <w:hideMark/>
          </w:tcPr>
          <w:p w14:paraId="0194065F" w14:textId="77777777" w:rsidR="00C21962" w:rsidRDefault="00C21962">
            <w:pPr>
              <w:jc w:val="center"/>
              <w:rPr>
                <w:sz w:val="19"/>
                <w:szCs w:val="28"/>
                <w:lang w:val="en-US"/>
              </w:rPr>
            </w:pPr>
            <w:r>
              <w:rPr>
                <w:sz w:val="19"/>
                <w:szCs w:val="28"/>
                <w:lang w:val="en-US"/>
              </w:rPr>
              <w:t>v Kč</w:t>
            </w:r>
          </w:p>
        </w:tc>
        <w:tc>
          <w:tcPr>
            <w:tcW w:w="1818" w:type="dxa"/>
            <w:tcBorders>
              <w:top w:val="nil"/>
              <w:left w:val="nil"/>
              <w:bottom w:val="single" w:sz="8" w:space="0" w:color="auto"/>
              <w:right w:val="single" w:sz="8" w:space="0" w:color="auto"/>
            </w:tcBorders>
            <w:noWrap/>
            <w:vAlign w:val="bottom"/>
            <w:hideMark/>
          </w:tcPr>
          <w:p w14:paraId="26C51945" w14:textId="77777777" w:rsidR="00C21962" w:rsidRDefault="00C21962">
            <w:pPr>
              <w:jc w:val="center"/>
              <w:rPr>
                <w:sz w:val="19"/>
                <w:szCs w:val="28"/>
                <w:lang w:val="en-US"/>
              </w:rPr>
            </w:pPr>
            <w:r>
              <w:rPr>
                <w:sz w:val="19"/>
                <w:szCs w:val="28"/>
                <w:lang w:val="en-US"/>
              </w:rPr>
              <w:t>v Kč</w:t>
            </w:r>
          </w:p>
        </w:tc>
        <w:tc>
          <w:tcPr>
            <w:tcW w:w="1653" w:type="dxa"/>
            <w:tcBorders>
              <w:top w:val="nil"/>
              <w:left w:val="nil"/>
              <w:bottom w:val="single" w:sz="8" w:space="0" w:color="auto"/>
              <w:right w:val="single" w:sz="8" w:space="0" w:color="auto"/>
            </w:tcBorders>
            <w:noWrap/>
            <w:vAlign w:val="bottom"/>
            <w:hideMark/>
          </w:tcPr>
          <w:p w14:paraId="72672CBA" w14:textId="77777777" w:rsidR="00C21962" w:rsidRDefault="00C21962">
            <w:pPr>
              <w:jc w:val="center"/>
              <w:rPr>
                <w:sz w:val="19"/>
                <w:szCs w:val="28"/>
                <w:lang w:val="en-US"/>
              </w:rPr>
            </w:pPr>
            <w:r>
              <w:rPr>
                <w:sz w:val="19"/>
                <w:szCs w:val="28"/>
                <w:lang w:val="en-US"/>
              </w:rPr>
              <w:t>v Kč</w:t>
            </w:r>
          </w:p>
        </w:tc>
        <w:tc>
          <w:tcPr>
            <w:tcW w:w="1322" w:type="dxa"/>
            <w:tcBorders>
              <w:top w:val="nil"/>
              <w:left w:val="nil"/>
              <w:bottom w:val="single" w:sz="8" w:space="0" w:color="auto"/>
              <w:right w:val="single" w:sz="8" w:space="0" w:color="auto"/>
            </w:tcBorders>
            <w:noWrap/>
            <w:vAlign w:val="bottom"/>
            <w:hideMark/>
          </w:tcPr>
          <w:p w14:paraId="7B2BDDE8" w14:textId="77777777" w:rsidR="00C21962" w:rsidRDefault="00C21962">
            <w:pPr>
              <w:jc w:val="center"/>
              <w:rPr>
                <w:sz w:val="19"/>
                <w:szCs w:val="28"/>
                <w:lang w:val="en-US"/>
              </w:rPr>
            </w:pPr>
            <w:r>
              <w:rPr>
                <w:sz w:val="19"/>
                <w:szCs w:val="28"/>
                <w:lang w:val="en-US"/>
              </w:rPr>
              <w:t>v Kč</w:t>
            </w:r>
          </w:p>
        </w:tc>
        <w:tc>
          <w:tcPr>
            <w:tcW w:w="1322" w:type="dxa"/>
            <w:tcBorders>
              <w:top w:val="nil"/>
              <w:left w:val="nil"/>
              <w:bottom w:val="single" w:sz="8" w:space="0" w:color="auto"/>
              <w:right w:val="single" w:sz="8" w:space="0" w:color="auto"/>
            </w:tcBorders>
            <w:noWrap/>
            <w:vAlign w:val="bottom"/>
            <w:hideMark/>
          </w:tcPr>
          <w:p w14:paraId="5CECF8F4" w14:textId="77777777" w:rsidR="00C21962" w:rsidRDefault="00C21962">
            <w:pPr>
              <w:jc w:val="center"/>
              <w:rPr>
                <w:sz w:val="19"/>
                <w:szCs w:val="28"/>
                <w:lang w:val="en-US"/>
              </w:rPr>
            </w:pPr>
            <w:r>
              <w:rPr>
                <w:sz w:val="19"/>
                <w:szCs w:val="28"/>
                <w:lang w:val="en-US"/>
              </w:rPr>
              <w:t>v Kč</w:t>
            </w:r>
          </w:p>
        </w:tc>
      </w:tr>
      <w:tr w:rsidR="00C21962" w14:paraId="4E3E97BA" w14:textId="77777777" w:rsidTr="00AF20B8">
        <w:trPr>
          <w:trHeight w:val="252"/>
        </w:trPr>
        <w:tc>
          <w:tcPr>
            <w:tcW w:w="1817" w:type="dxa"/>
            <w:tcBorders>
              <w:top w:val="nil"/>
              <w:left w:val="single" w:sz="8" w:space="0" w:color="auto"/>
              <w:bottom w:val="single" w:sz="8" w:space="0" w:color="auto"/>
              <w:right w:val="single" w:sz="8" w:space="0" w:color="auto"/>
            </w:tcBorders>
            <w:noWrap/>
            <w:vAlign w:val="bottom"/>
            <w:hideMark/>
          </w:tcPr>
          <w:p w14:paraId="43123910" w14:textId="77777777" w:rsidR="00C21962" w:rsidRDefault="00C21962">
            <w:pPr>
              <w:jc w:val="both"/>
              <w:rPr>
                <w:sz w:val="19"/>
                <w:szCs w:val="28"/>
                <w:lang w:val="en-US"/>
              </w:rPr>
            </w:pPr>
            <w:r>
              <w:rPr>
                <w:sz w:val="19"/>
                <w:szCs w:val="28"/>
                <w:lang w:val="en-US"/>
              </w:rPr>
              <w:t xml:space="preserve">Duben </w:t>
            </w:r>
          </w:p>
        </w:tc>
        <w:tc>
          <w:tcPr>
            <w:tcW w:w="1653" w:type="dxa"/>
            <w:tcBorders>
              <w:top w:val="nil"/>
              <w:left w:val="nil"/>
              <w:bottom w:val="single" w:sz="8" w:space="0" w:color="auto"/>
              <w:right w:val="single" w:sz="8" w:space="0" w:color="auto"/>
            </w:tcBorders>
            <w:noWrap/>
            <w:vAlign w:val="bottom"/>
            <w:hideMark/>
          </w:tcPr>
          <w:p w14:paraId="2D23F15B" w14:textId="77777777" w:rsidR="00C21962" w:rsidRDefault="00C21962">
            <w:pPr>
              <w:jc w:val="right"/>
              <w:rPr>
                <w:sz w:val="19"/>
                <w:szCs w:val="28"/>
                <w:lang w:val="en-US"/>
              </w:rPr>
            </w:pPr>
            <w:r>
              <w:rPr>
                <w:sz w:val="19"/>
                <w:szCs w:val="28"/>
                <w:lang w:val="en-US"/>
              </w:rPr>
              <w:t>2 152 890</w:t>
            </w:r>
          </w:p>
        </w:tc>
        <w:tc>
          <w:tcPr>
            <w:tcW w:w="1818" w:type="dxa"/>
            <w:tcBorders>
              <w:top w:val="single" w:sz="4" w:space="0" w:color="auto"/>
              <w:left w:val="single" w:sz="4" w:space="0" w:color="auto"/>
              <w:bottom w:val="single" w:sz="4" w:space="0" w:color="auto"/>
              <w:right w:val="single" w:sz="4" w:space="0" w:color="auto"/>
            </w:tcBorders>
            <w:noWrap/>
            <w:vAlign w:val="bottom"/>
            <w:hideMark/>
          </w:tcPr>
          <w:p w14:paraId="56EF0207" w14:textId="77777777" w:rsidR="00C21962" w:rsidRDefault="00C21962">
            <w:pPr>
              <w:jc w:val="right"/>
              <w:rPr>
                <w:sz w:val="19"/>
                <w:szCs w:val="28"/>
                <w:lang w:val="en-US"/>
              </w:rPr>
            </w:pPr>
            <w:r>
              <w:rPr>
                <w:sz w:val="19"/>
                <w:szCs w:val="28"/>
                <w:lang w:val="en-US"/>
              </w:rPr>
              <w:t>1 529 961</w:t>
            </w:r>
          </w:p>
        </w:tc>
        <w:tc>
          <w:tcPr>
            <w:tcW w:w="1653" w:type="dxa"/>
            <w:tcBorders>
              <w:top w:val="single" w:sz="4" w:space="0" w:color="auto"/>
              <w:left w:val="nil"/>
              <w:bottom w:val="single" w:sz="4" w:space="0" w:color="auto"/>
              <w:right w:val="single" w:sz="4" w:space="0" w:color="auto"/>
            </w:tcBorders>
            <w:noWrap/>
            <w:vAlign w:val="bottom"/>
            <w:hideMark/>
          </w:tcPr>
          <w:p w14:paraId="2A2DBBCF" w14:textId="77777777" w:rsidR="00C21962" w:rsidRDefault="00C21962">
            <w:pPr>
              <w:jc w:val="right"/>
              <w:rPr>
                <w:sz w:val="19"/>
                <w:szCs w:val="28"/>
                <w:lang w:val="en-US"/>
              </w:rPr>
            </w:pPr>
            <w:r>
              <w:rPr>
                <w:sz w:val="19"/>
                <w:szCs w:val="28"/>
                <w:lang w:val="en-US"/>
              </w:rPr>
              <w:t>517 131</w:t>
            </w:r>
          </w:p>
        </w:tc>
        <w:tc>
          <w:tcPr>
            <w:tcW w:w="1322" w:type="dxa"/>
            <w:tcBorders>
              <w:top w:val="single" w:sz="4" w:space="0" w:color="auto"/>
              <w:left w:val="nil"/>
              <w:bottom w:val="single" w:sz="4" w:space="0" w:color="auto"/>
              <w:right w:val="single" w:sz="4" w:space="0" w:color="auto"/>
            </w:tcBorders>
            <w:noWrap/>
            <w:vAlign w:val="bottom"/>
            <w:hideMark/>
          </w:tcPr>
          <w:p w14:paraId="378AB1F1" w14:textId="77777777" w:rsidR="00C21962" w:rsidRDefault="00C21962">
            <w:pPr>
              <w:jc w:val="right"/>
              <w:rPr>
                <w:sz w:val="19"/>
                <w:szCs w:val="28"/>
                <w:lang w:val="en-US"/>
              </w:rPr>
            </w:pPr>
            <w:r>
              <w:rPr>
                <w:sz w:val="19"/>
                <w:szCs w:val="28"/>
                <w:lang w:val="en-US"/>
              </w:rPr>
              <w:t>15 298</w:t>
            </w:r>
          </w:p>
        </w:tc>
        <w:tc>
          <w:tcPr>
            <w:tcW w:w="1322" w:type="dxa"/>
            <w:tcBorders>
              <w:top w:val="single" w:sz="4" w:space="0" w:color="auto"/>
              <w:left w:val="nil"/>
              <w:bottom w:val="single" w:sz="4" w:space="0" w:color="auto"/>
              <w:right w:val="single" w:sz="4" w:space="0" w:color="auto"/>
            </w:tcBorders>
            <w:vAlign w:val="bottom"/>
            <w:hideMark/>
          </w:tcPr>
          <w:p w14:paraId="5ED937CD" w14:textId="77777777" w:rsidR="00C21962" w:rsidRDefault="00C21962">
            <w:pPr>
              <w:jc w:val="right"/>
              <w:rPr>
                <w:sz w:val="19"/>
                <w:szCs w:val="28"/>
                <w:lang w:val="en-US"/>
              </w:rPr>
            </w:pPr>
            <w:r>
              <w:rPr>
                <w:sz w:val="19"/>
                <w:szCs w:val="28"/>
                <w:lang w:val="en-US"/>
              </w:rPr>
              <w:t>90 500</w:t>
            </w:r>
          </w:p>
        </w:tc>
      </w:tr>
      <w:tr w:rsidR="00C21962" w14:paraId="4C305947" w14:textId="77777777" w:rsidTr="00AF20B8">
        <w:trPr>
          <w:trHeight w:val="252"/>
        </w:trPr>
        <w:tc>
          <w:tcPr>
            <w:tcW w:w="1817" w:type="dxa"/>
            <w:tcBorders>
              <w:top w:val="nil"/>
              <w:left w:val="single" w:sz="8" w:space="0" w:color="auto"/>
              <w:bottom w:val="single" w:sz="8" w:space="0" w:color="auto"/>
              <w:right w:val="single" w:sz="8" w:space="0" w:color="auto"/>
            </w:tcBorders>
            <w:noWrap/>
            <w:vAlign w:val="bottom"/>
            <w:hideMark/>
          </w:tcPr>
          <w:p w14:paraId="524F95C2" w14:textId="77777777" w:rsidR="00C21962" w:rsidRDefault="00C21962">
            <w:pPr>
              <w:jc w:val="both"/>
              <w:rPr>
                <w:sz w:val="19"/>
                <w:szCs w:val="28"/>
                <w:lang w:val="en-US"/>
              </w:rPr>
            </w:pPr>
            <w:r>
              <w:rPr>
                <w:sz w:val="19"/>
                <w:szCs w:val="28"/>
                <w:lang w:val="en-US"/>
              </w:rPr>
              <w:t>Květen</w:t>
            </w:r>
          </w:p>
        </w:tc>
        <w:tc>
          <w:tcPr>
            <w:tcW w:w="1653" w:type="dxa"/>
            <w:tcBorders>
              <w:top w:val="nil"/>
              <w:left w:val="nil"/>
              <w:bottom w:val="single" w:sz="8" w:space="0" w:color="auto"/>
              <w:right w:val="single" w:sz="8" w:space="0" w:color="auto"/>
            </w:tcBorders>
            <w:noWrap/>
            <w:vAlign w:val="bottom"/>
            <w:hideMark/>
          </w:tcPr>
          <w:p w14:paraId="52310F7D" w14:textId="77777777" w:rsidR="00C21962" w:rsidRDefault="00C21962">
            <w:pPr>
              <w:jc w:val="right"/>
              <w:rPr>
                <w:sz w:val="19"/>
                <w:szCs w:val="28"/>
                <w:lang w:val="en-US"/>
              </w:rPr>
            </w:pPr>
            <w:r>
              <w:rPr>
                <w:sz w:val="19"/>
                <w:szCs w:val="28"/>
                <w:lang w:val="en-US"/>
              </w:rPr>
              <w:t>558 273</w:t>
            </w:r>
          </w:p>
        </w:tc>
        <w:tc>
          <w:tcPr>
            <w:tcW w:w="1818" w:type="dxa"/>
            <w:tcBorders>
              <w:top w:val="single" w:sz="4" w:space="0" w:color="auto"/>
              <w:left w:val="single" w:sz="4" w:space="0" w:color="auto"/>
              <w:bottom w:val="single" w:sz="4" w:space="0" w:color="auto"/>
              <w:right w:val="single" w:sz="4" w:space="0" w:color="auto"/>
            </w:tcBorders>
            <w:noWrap/>
            <w:vAlign w:val="bottom"/>
            <w:hideMark/>
          </w:tcPr>
          <w:p w14:paraId="3F2C0A59" w14:textId="77777777" w:rsidR="00C21962" w:rsidRDefault="00C21962">
            <w:pPr>
              <w:jc w:val="right"/>
              <w:rPr>
                <w:sz w:val="19"/>
                <w:szCs w:val="28"/>
                <w:lang w:val="en-US"/>
              </w:rPr>
            </w:pPr>
            <w:r>
              <w:rPr>
                <w:sz w:val="19"/>
                <w:szCs w:val="28"/>
                <w:lang w:val="en-US"/>
              </w:rPr>
              <w:t>307 732</w:t>
            </w:r>
          </w:p>
        </w:tc>
        <w:tc>
          <w:tcPr>
            <w:tcW w:w="1653" w:type="dxa"/>
            <w:tcBorders>
              <w:top w:val="single" w:sz="4" w:space="0" w:color="auto"/>
              <w:left w:val="nil"/>
              <w:bottom w:val="single" w:sz="4" w:space="0" w:color="auto"/>
              <w:right w:val="single" w:sz="4" w:space="0" w:color="auto"/>
            </w:tcBorders>
            <w:noWrap/>
            <w:vAlign w:val="bottom"/>
            <w:hideMark/>
          </w:tcPr>
          <w:p w14:paraId="1795CD4E" w14:textId="77777777" w:rsidR="00C21962" w:rsidRDefault="00C21962">
            <w:pPr>
              <w:jc w:val="right"/>
              <w:rPr>
                <w:sz w:val="19"/>
                <w:szCs w:val="28"/>
                <w:lang w:val="en-US"/>
              </w:rPr>
            </w:pPr>
            <w:r>
              <w:rPr>
                <w:sz w:val="19"/>
                <w:szCs w:val="28"/>
                <w:lang w:val="en-US"/>
              </w:rPr>
              <w:t>104 015</w:t>
            </w:r>
          </w:p>
        </w:tc>
        <w:tc>
          <w:tcPr>
            <w:tcW w:w="1322" w:type="dxa"/>
            <w:tcBorders>
              <w:top w:val="single" w:sz="4" w:space="0" w:color="auto"/>
              <w:left w:val="nil"/>
              <w:bottom w:val="single" w:sz="4" w:space="0" w:color="auto"/>
              <w:right w:val="single" w:sz="4" w:space="0" w:color="auto"/>
            </w:tcBorders>
            <w:noWrap/>
            <w:vAlign w:val="bottom"/>
            <w:hideMark/>
          </w:tcPr>
          <w:p w14:paraId="68F1DC0F" w14:textId="77777777" w:rsidR="00C21962" w:rsidRDefault="00C21962">
            <w:pPr>
              <w:jc w:val="right"/>
              <w:rPr>
                <w:sz w:val="19"/>
                <w:szCs w:val="28"/>
                <w:lang w:val="en-US"/>
              </w:rPr>
            </w:pPr>
            <w:r>
              <w:rPr>
                <w:sz w:val="19"/>
                <w:szCs w:val="28"/>
                <w:lang w:val="en-US"/>
              </w:rPr>
              <w:t>3 076</w:t>
            </w:r>
          </w:p>
        </w:tc>
        <w:tc>
          <w:tcPr>
            <w:tcW w:w="1322" w:type="dxa"/>
            <w:tcBorders>
              <w:top w:val="single" w:sz="4" w:space="0" w:color="auto"/>
              <w:left w:val="nil"/>
              <w:bottom w:val="single" w:sz="4" w:space="0" w:color="auto"/>
              <w:right w:val="single" w:sz="4" w:space="0" w:color="auto"/>
            </w:tcBorders>
            <w:vAlign w:val="bottom"/>
            <w:hideMark/>
          </w:tcPr>
          <w:p w14:paraId="21942A88" w14:textId="77777777" w:rsidR="00C21962" w:rsidRDefault="00C21962">
            <w:pPr>
              <w:jc w:val="right"/>
              <w:rPr>
                <w:sz w:val="19"/>
                <w:szCs w:val="28"/>
                <w:lang w:val="en-US"/>
              </w:rPr>
            </w:pPr>
            <w:r>
              <w:rPr>
                <w:sz w:val="19"/>
                <w:szCs w:val="28"/>
                <w:lang w:val="en-US"/>
              </w:rPr>
              <w:t>143 450</w:t>
            </w:r>
          </w:p>
        </w:tc>
      </w:tr>
    </w:tbl>
    <w:p w14:paraId="75DDE9A2" w14:textId="77777777" w:rsidR="00C21962" w:rsidRDefault="00C21962" w:rsidP="00AF20B8">
      <w:pPr>
        <w:jc w:val="both"/>
        <w:rPr>
          <w:sz w:val="19"/>
          <w:szCs w:val="28"/>
        </w:rPr>
      </w:pPr>
    </w:p>
    <w:p w14:paraId="5D58DAD2" w14:textId="77777777" w:rsidR="00C21962" w:rsidRDefault="00C21962" w:rsidP="00AF20B8">
      <w:pPr>
        <w:jc w:val="both"/>
        <w:rPr>
          <w:sz w:val="19"/>
          <w:szCs w:val="28"/>
        </w:rPr>
      </w:pPr>
      <w:r>
        <w:rPr>
          <w:sz w:val="19"/>
          <w:szCs w:val="28"/>
        </w:rPr>
        <w:t>2. Stanovení závazného ukazatele na ostatní osobní náklady (OON)</w:t>
      </w:r>
    </w:p>
    <w:p w14:paraId="34CF8494" w14:textId="77777777" w:rsidR="00C21962" w:rsidRDefault="00C21962" w:rsidP="00AF20B8">
      <w:pPr>
        <w:jc w:val="both"/>
        <w:rPr>
          <w:sz w:val="19"/>
          <w:szCs w:val="28"/>
        </w:rPr>
      </w:pPr>
      <w:r>
        <w:rPr>
          <w:sz w:val="19"/>
          <w:szCs w:val="28"/>
        </w:rPr>
        <w:t xml:space="preserve">Dle čl. V odst. (4) směrnice krajský úřad stanoví na vrub rezervy finanční prostředky na ostatní osobní náklady (OON). Po stanovení závazných ukazatelů rozpočtu si školy a školská zařízení žádají o stanovení ukazatele OON, přičemž prostředky na OON využívají na úhradu odměn za práce konané mimo pracovní poměr a na odstupné pro zaměstnance, kteří končí pracovní poměr výpovědí pro nadbytečnost. Na základě požadavků škol a školských zařízení je doplaceno 21 % OON krajem zřizovaným školám z důvodu plného nepokrytí požadavků v první úpravě rozpisu rozpočtu v roce 2025. Finanční prostředky na odstupné nejsou touto úpravou dotčeny. </w:t>
      </w:r>
    </w:p>
    <w:p w14:paraId="181DF6E3" w14:textId="77777777" w:rsidR="00C21962" w:rsidRDefault="00C21962" w:rsidP="00AF20B8">
      <w:pPr>
        <w:jc w:val="both"/>
        <w:rPr>
          <w:sz w:val="19"/>
          <w:szCs w:val="28"/>
        </w:rPr>
      </w:pPr>
    </w:p>
    <w:p w14:paraId="50952321" w14:textId="77777777" w:rsidR="00C21962" w:rsidRDefault="00C21962" w:rsidP="00AF20B8">
      <w:pPr>
        <w:jc w:val="both"/>
        <w:rPr>
          <w:sz w:val="19"/>
          <w:szCs w:val="28"/>
        </w:rPr>
      </w:pPr>
      <w:r>
        <w:rPr>
          <w:sz w:val="19"/>
          <w:szCs w:val="28"/>
        </w:rPr>
        <w:t>3. Dohodovací řízení v roce 2025</w:t>
      </w:r>
    </w:p>
    <w:p w14:paraId="04717977" w14:textId="77777777" w:rsidR="00C21962" w:rsidRDefault="00C21962" w:rsidP="00AF20B8">
      <w:pPr>
        <w:jc w:val="both"/>
        <w:rPr>
          <w:sz w:val="19"/>
          <w:szCs w:val="28"/>
        </w:rPr>
      </w:pPr>
      <w:r>
        <w:rPr>
          <w:sz w:val="19"/>
          <w:szCs w:val="28"/>
        </w:rPr>
        <w:t>Dle čl. VIII  směrnice, ve kterém se mimo jiné uvádí, že na návrh právnické osoby zřizované obcí, svazkem obcí nebo krajem, která považuje rozpis přímých výdajů za nepostačující k zajištění nezbytných potřeb vyplývajících z právních předpisů a rámcových vzdělávacích programů, popřípadě schválených učebních dokumentů, projedná obecní úřad obce s rozšířenou působností nebo krajský úřad s touto právnickou osobou podklady předložené právnickou osobou obecnímu úřadu obce s rozšířenou působností nebo krajskému úřadu v termínech stanovených krajským úřadem. Termíny projednání byly zveřejněny na webových stránkách krajského úřadu dne 7. 3. 2025.</w:t>
      </w:r>
    </w:p>
    <w:p w14:paraId="104D80DB" w14:textId="77777777" w:rsidR="00C21962" w:rsidRDefault="00C21962" w:rsidP="00AF20B8">
      <w:pPr>
        <w:jc w:val="both"/>
        <w:rPr>
          <w:sz w:val="19"/>
          <w:szCs w:val="28"/>
        </w:rPr>
      </w:pPr>
    </w:p>
    <w:p w14:paraId="085514FF" w14:textId="77777777" w:rsidR="00C21962" w:rsidRDefault="00C21962" w:rsidP="00AF20B8">
      <w:pPr>
        <w:jc w:val="both"/>
        <w:rPr>
          <w:sz w:val="19"/>
          <w:szCs w:val="28"/>
        </w:rPr>
      </w:pPr>
      <w:r>
        <w:rPr>
          <w:sz w:val="19"/>
          <w:szCs w:val="28"/>
        </w:rPr>
        <w:t>4. Doplatek 1/3 krajských normativů na nepedagogické zaměstnance</w:t>
      </w:r>
    </w:p>
    <w:p w14:paraId="43134065" w14:textId="77777777" w:rsidR="00C21962" w:rsidRDefault="00C21962" w:rsidP="00AF20B8">
      <w:pPr>
        <w:autoSpaceDE w:val="0"/>
        <w:autoSpaceDN w:val="0"/>
        <w:adjustRightInd w:val="0"/>
        <w:spacing w:line="240" w:lineRule="auto"/>
        <w:jc w:val="both"/>
        <w:rPr>
          <w:sz w:val="19"/>
          <w:szCs w:val="28"/>
        </w:rPr>
      </w:pPr>
      <w:r>
        <w:rPr>
          <w:sz w:val="19"/>
          <w:szCs w:val="28"/>
        </w:rPr>
        <w:t>2. úprava rozpočtu v roce 2025 pro RgŠ ÚSC ze strany MŠMT je provedena dle kritéria II.3) stanoveného materiálem „Principy rozpisu rozpočtu přímých výdajů RgŠ územních samosprávných celků na rok 2025“, č. j. MSMT-635/2025-2.Tato úprava bude plně započítána do dotace pro RgŠ ÚSC na rok 2025 a bude zohledněna v dotacích pro RgŠ ÚSC na měsíce červenec až prosinec 2025.</w:t>
      </w:r>
    </w:p>
    <w:p w14:paraId="549A40A7" w14:textId="77777777" w:rsidR="00C21962" w:rsidRDefault="00C21962" w:rsidP="00AF20B8">
      <w:pPr>
        <w:autoSpaceDE w:val="0"/>
        <w:autoSpaceDN w:val="0"/>
        <w:adjustRightInd w:val="0"/>
        <w:spacing w:line="240" w:lineRule="auto"/>
        <w:jc w:val="both"/>
        <w:rPr>
          <w:sz w:val="19"/>
          <w:szCs w:val="28"/>
        </w:rPr>
      </w:pPr>
      <w:r>
        <w:rPr>
          <w:sz w:val="19"/>
          <w:szCs w:val="28"/>
        </w:rPr>
        <w:t xml:space="preserve">Jihočeský kraj na základě doplatku na krajské normativy obdržel částku </w:t>
      </w:r>
      <w:r>
        <w:rPr>
          <w:b/>
          <w:bCs/>
          <w:sz w:val="19"/>
          <w:szCs w:val="28"/>
        </w:rPr>
        <w:t>ve výši 318 366 069 Kč</w:t>
      </w:r>
      <w:r>
        <w:rPr>
          <w:sz w:val="19"/>
          <w:szCs w:val="28"/>
        </w:rPr>
        <w:t xml:space="preserve"> v celkové výši neinvestičních výdajů (NIV). Tato částka je rozpočtena na jednotlivé obecní i krajské školy poměrem, který byl stanoven přepočteným krajským koeficientem, takovým způsobem, aby byl zachován poměr odpovídají blížící se jedné třetině doplatku pro jednotlivé školy. Tento doplatek nezahrnuje částku, která byla stanovena MSMT na ředitelství. Tento doplatek rozpočetlo MŠMT individuálně a zveřejnilo na webu:</w:t>
      </w:r>
      <w:r>
        <w:t xml:space="preserve"> </w:t>
      </w:r>
      <w:hyperlink r:id="rId8" w:history="1">
        <w:r>
          <w:rPr>
            <w:rStyle w:val="Hypertextovodkaz"/>
            <w:sz w:val="19"/>
            <w:szCs w:val="28"/>
          </w:rPr>
          <w:t>https://msmt.gov.cz/vzdelavani/skolstvi-v-cr/ekonomika-skolstvi/stanoveni-dalsich-financnich-prostredku-pro-skoly-zrizovane</w:t>
        </w:r>
      </w:hyperlink>
    </w:p>
    <w:p w14:paraId="3CAF17F7" w14:textId="77777777" w:rsidR="00C21962" w:rsidRDefault="00C21962" w:rsidP="00AF20B8">
      <w:pPr>
        <w:autoSpaceDE w:val="0"/>
        <w:autoSpaceDN w:val="0"/>
        <w:adjustRightInd w:val="0"/>
        <w:spacing w:line="240" w:lineRule="auto"/>
        <w:jc w:val="both"/>
        <w:rPr>
          <w:sz w:val="19"/>
          <w:szCs w:val="28"/>
        </w:rPr>
      </w:pPr>
      <w:r>
        <w:rPr>
          <w:sz w:val="19"/>
          <w:szCs w:val="28"/>
        </w:rPr>
        <w:t xml:space="preserve">Regionální školství Jihočeského kraje získá dalších </w:t>
      </w:r>
      <w:r>
        <w:rPr>
          <w:b/>
          <w:bCs/>
          <w:sz w:val="19"/>
          <w:szCs w:val="28"/>
        </w:rPr>
        <w:t>371 631 223 Kč v NIV</w:t>
      </w:r>
      <w:r>
        <w:rPr>
          <w:sz w:val="19"/>
          <w:szCs w:val="28"/>
        </w:rPr>
        <w:t xml:space="preserve">, které však nejsou součástí rozpočtu přímých výdajů a jsou účelově vázány na nepedagogické pracovníky. Obecní i krajské školy obdrží tyto finanční prostředky maximálně ve dvou splátkách dle údajů zveřejněných ve Věstníku MŠMT </w:t>
      </w:r>
      <w:r>
        <w:rPr>
          <w:sz w:val="19"/>
          <w:szCs w:val="28"/>
        </w:rPr>
        <w:br/>
        <w:t xml:space="preserve">č. j. MSMT-12238/2025-2. </w:t>
      </w:r>
    </w:p>
    <w:p w14:paraId="24373BA5" w14:textId="77777777" w:rsidR="00C21962" w:rsidRDefault="00C21962" w:rsidP="00AF20B8">
      <w:pPr>
        <w:jc w:val="both"/>
        <w:rPr>
          <w:sz w:val="19"/>
          <w:szCs w:val="28"/>
        </w:rPr>
      </w:pPr>
    </w:p>
    <w:p w14:paraId="75F7E568" w14:textId="77777777" w:rsidR="00C21962" w:rsidRDefault="00C21962" w:rsidP="00AF20B8">
      <w:pPr>
        <w:jc w:val="both"/>
        <w:rPr>
          <w:sz w:val="19"/>
          <w:szCs w:val="28"/>
        </w:rPr>
      </w:pPr>
    </w:p>
    <w:p w14:paraId="4228B706" w14:textId="77777777" w:rsidR="00C21962" w:rsidRDefault="00C21962" w:rsidP="00AF20B8">
      <w:pPr>
        <w:jc w:val="both"/>
        <w:rPr>
          <w:sz w:val="19"/>
          <w:szCs w:val="28"/>
        </w:rPr>
      </w:pPr>
    </w:p>
    <w:p w14:paraId="2F023EEB" w14:textId="77777777" w:rsidR="00C21962" w:rsidRDefault="00C21962" w:rsidP="00AF20B8">
      <w:pPr>
        <w:jc w:val="both"/>
        <w:rPr>
          <w:sz w:val="19"/>
          <w:szCs w:val="28"/>
        </w:rPr>
      </w:pPr>
    </w:p>
    <w:p w14:paraId="043479C4" w14:textId="77777777" w:rsidR="00C21962" w:rsidRDefault="00C21962" w:rsidP="00AF20B8">
      <w:pPr>
        <w:jc w:val="both"/>
        <w:rPr>
          <w:sz w:val="19"/>
          <w:szCs w:val="28"/>
        </w:rPr>
      </w:pPr>
    </w:p>
    <w:p w14:paraId="6C30171D" w14:textId="77777777" w:rsidR="00C21962" w:rsidRDefault="00C21962" w:rsidP="00AF20B8">
      <w:pPr>
        <w:jc w:val="both"/>
        <w:rPr>
          <w:sz w:val="19"/>
          <w:szCs w:val="28"/>
        </w:rPr>
      </w:pPr>
    </w:p>
    <w:p w14:paraId="0BF3953F" w14:textId="77777777" w:rsidR="00C21962" w:rsidRDefault="00C21962" w:rsidP="00AF20B8">
      <w:pPr>
        <w:jc w:val="both"/>
        <w:rPr>
          <w:sz w:val="19"/>
          <w:szCs w:val="28"/>
        </w:rPr>
      </w:pPr>
    </w:p>
    <w:p w14:paraId="1AB13FF8" w14:textId="77777777" w:rsidR="00C21962" w:rsidRDefault="00C21962" w:rsidP="00AF20B8">
      <w:pPr>
        <w:jc w:val="both"/>
        <w:rPr>
          <w:sz w:val="19"/>
          <w:szCs w:val="28"/>
        </w:rPr>
      </w:pPr>
    </w:p>
    <w:p w14:paraId="1CEFDBC5" w14:textId="77777777" w:rsidR="00C21962" w:rsidRDefault="00C21962" w:rsidP="00AF20B8">
      <w:pPr>
        <w:jc w:val="both"/>
        <w:rPr>
          <w:sz w:val="19"/>
          <w:szCs w:val="28"/>
        </w:rPr>
      </w:pPr>
    </w:p>
    <w:p w14:paraId="38CEE3C4" w14:textId="77777777" w:rsidR="00C21962" w:rsidRDefault="00C21962" w:rsidP="00AF20B8">
      <w:pPr>
        <w:jc w:val="both"/>
        <w:rPr>
          <w:sz w:val="19"/>
          <w:szCs w:val="28"/>
        </w:rPr>
      </w:pPr>
    </w:p>
    <w:p w14:paraId="7404AFD1" w14:textId="77777777" w:rsidR="00C21962" w:rsidRDefault="00C21962" w:rsidP="00AF20B8">
      <w:pPr>
        <w:jc w:val="both"/>
        <w:rPr>
          <w:sz w:val="19"/>
          <w:szCs w:val="28"/>
        </w:rPr>
      </w:pPr>
    </w:p>
    <w:p w14:paraId="72D9C80E" w14:textId="77777777" w:rsidR="00C21962" w:rsidRDefault="00C21962" w:rsidP="00AF20B8">
      <w:pPr>
        <w:jc w:val="both"/>
        <w:rPr>
          <w:sz w:val="19"/>
          <w:szCs w:val="28"/>
        </w:rPr>
      </w:pPr>
      <w:r>
        <w:rPr>
          <w:sz w:val="19"/>
          <w:szCs w:val="28"/>
        </w:rPr>
        <w:t>Tab. 2 – Rozpis rozpočtu přímých výdajů regionálního školství v Jihočeském kraji k 26. 6. 2025</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3121"/>
        <w:gridCol w:w="2265"/>
        <w:gridCol w:w="2272"/>
      </w:tblGrid>
      <w:tr w:rsidR="00C21962" w14:paraId="24433856" w14:textId="77777777" w:rsidTr="00AF20B8">
        <w:trPr>
          <w:trHeight w:val="318"/>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27DCA6EA" w14:textId="77777777" w:rsidR="00C21962" w:rsidRDefault="00C21962">
            <w:pPr>
              <w:jc w:val="center"/>
              <w:rPr>
                <w:sz w:val="19"/>
                <w:szCs w:val="28"/>
              </w:rPr>
            </w:pPr>
            <w:r>
              <w:rPr>
                <w:sz w:val="19"/>
                <w:szCs w:val="28"/>
              </w:rPr>
              <w:t> </w:t>
            </w:r>
          </w:p>
        </w:tc>
        <w:tc>
          <w:tcPr>
            <w:tcW w:w="7655" w:type="dxa"/>
            <w:gridSpan w:val="3"/>
            <w:tcBorders>
              <w:top w:val="single" w:sz="4" w:space="0" w:color="auto"/>
              <w:left w:val="single" w:sz="4" w:space="0" w:color="auto"/>
              <w:bottom w:val="single" w:sz="4" w:space="0" w:color="auto"/>
              <w:right w:val="single" w:sz="4" w:space="0" w:color="auto"/>
            </w:tcBorders>
            <w:noWrap/>
            <w:vAlign w:val="bottom"/>
            <w:hideMark/>
          </w:tcPr>
          <w:p w14:paraId="56FC3327" w14:textId="77777777" w:rsidR="00C21962" w:rsidRDefault="00C21962">
            <w:pPr>
              <w:jc w:val="center"/>
              <w:rPr>
                <w:sz w:val="19"/>
                <w:szCs w:val="28"/>
                <w:lang w:val="en-US"/>
              </w:rPr>
            </w:pPr>
            <w:r>
              <w:rPr>
                <w:sz w:val="19"/>
                <w:szCs w:val="28"/>
                <w:lang w:val="en-US"/>
              </w:rPr>
              <w:t>Závazný ukazatel</w:t>
            </w:r>
          </w:p>
        </w:tc>
      </w:tr>
      <w:tr w:rsidR="00C21962" w14:paraId="5CBE1502" w14:textId="77777777" w:rsidTr="00AF20B8">
        <w:trPr>
          <w:trHeight w:val="318"/>
        </w:trPr>
        <w:tc>
          <w:tcPr>
            <w:tcW w:w="1701" w:type="dxa"/>
            <w:vMerge w:val="restart"/>
            <w:tcBorders>
              <w:top w:val="single" w:sz="4" w:space="0" w:color="auto"/>
              <w:left w:val="single" w:sz="4" w:space="0" w:color="auto"/>
              <w:bottom w:val="single" w:sz="4" w:space="0" w:color="auto"/>
              <w:right w:val="single" w:sz="4" w:space="0" w:color="auto"/>
            </w:tcBorders>
            <w:noWrap/>
            <w:vAlign w:val="bottom"/>
            <w:hideMark/>
          </w:tcPr>
          <w:p w14:paraId="41D4F490" w14:textId="77777777" w:rsidR="00C21962" w:rsidRDefault="00C21962">
            <w:pPr>
              <w:jc w:val="center"/>
              <w:rPr>
                <w:sz w:val="19"/>
                <w:szCs w:val="28"/>
                <w:lang w:val="en-US"/>
              </w:rPr>
            </w:pPr>
            <w:r>
              <w:rPr>
                <w:sz w:val="19"/>
                <w:szCs w:val="28"/>
                <w:lang w:val="en-US"/>
              </w:rPr>
              <w:t>Zřizovatel</w:t>
            </w:r>
          </w:p>
        </w:tc>
        <w:tc>
          <w:tcPr>
            <w:tcW w:w="3120" w:type="dxa"/>
            <w:tcBorders>
              <w:top w:val="single" w:sz="4" w:space="0" w:color="auto"/>
              <w:left w:val="single" w:sz="4" w:space="0" w:color="auto"/>
              <w:bottom w:val="single" w:sz="4" w:space="0" w:color="auto"/>
              <w:right w:val="single" w:sz="4" w:space="0" w:color="auto"/>
            </w:tcBorders>
            <w:noWrap/>
            <w:vAlign w:val="bottom"/>
            <w:hideMark/>
          </w:tcPr>
          <w:p w14:paraId="21B7106E" w14:textId="77777777" w:rsidR="00C21962" w:rsidRDefault="00C21962">
            <w:pPr>
              <w:jc w:val="center"/>
              <w:rPr>
                <w:sz w:val="19"/>
                <w:szCs w:val="28"/>
                <w:lang w:val="en-US"/>
              </w:rPr>
            </w:pPr>
            <w:r>
              <w:rPr>
                <w:sz w:val="19"/>
                <w:szCs w:val="28"/>
                <w:lang w:val="en-US"/>
              </w:rPr>
              <w:t>NIV</w:t>
            </w:r>
          </w:p>
        </w:tc>
        <w:tc>
          <w:tcPr>
            <w:tcW w:w="4535" w:type="dxa"/>
            <w:gridSpan w:val="2"/>
            <w:tcBorders>
              <w:top w:val="single" w:sz="4" w:space="0" w:color="auto"/>
              <w:left w:val="single" w:sz="4" w:space="0" w:color="auto"/>
              <w:bottom w:val="single" w:sz="4" w:space="0" w:color="auto"/>
              <w:right w:val="single" w:sz="4" w:space="0" w:color="auto"/>
            </w:tcBorders>
            <w:noWrap/>
            <w:vAlign w:val="bottom"/>
            <w:hideMark/>
          </w:tcPr>
          <w:p w14:paraId="06FE16D1" w14:textId="77777777" w:rsidR="00C21962" w:rsidRDefault="00C21962">
            <w:pPr>
              <w:jc w:val="center"/>
              <w:rPr>
                <w:sz w:val="19"/>
                <w:szCs w:val="28"/>
                <w:lang w:val="en-US"/>
              </w:rPr>
            </w:pPr>
            <w:r>
              <w:rPr>
                <w:sz w:val="19"/>
                <w:szCs w:val="28"/>
                <w:lang w:val="en-US"/>
              </w:rPr>
              <w:t>MP</w:t>
            </w:r>
          </w:p>
        </w:tc>
      </w:tr>
      <w:tr w:rsidR="00C21962" w14:paraId="3418A2AC" w14:textId="77777777" w:rsidTr="00AF20B8">
        <w:trPr>
          <w:trHeight w:val="303"/>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338D9B4" w14:textId="77777777" w:rsidR="00C21962" w:rsidRDefault="00C21962">
            <w:pPr>
              <w:spacing w:line="240" w:lineRule="auto"/>
              <w:rPr>
                <w:sz w:val="19"/>
                <w:szCs w:val="28"/>
                <w:lang w:val="en-US"/>
              </w:rPr>
            </w:pPr>
          </w:p>
        </w:tc>
        <w:tc>
          <w:tcPr>
            <w:tcW w:w="3120" w:type="dxa"/>
            <w:vMerge w:val="restart"/>
            <w:tcBorders>
              <w:top w:val="single" w:sz="4" w:space="0" w:color="auto"/>
              <w:left w:val="single" w:sz="4" w:space="0" w:color="auto"/>
              <w:bottom w:val="single" w:sz="4" w:space="0" w:color="auto"/>
              <w:right w:val="single" w:sz="4" w:space="0" w:color="auto"/>
            </w:tcBorders>
            <w:noWrap/>
            <w:vAlign w:val="bottom"/>
            <w:hideMark/>
          </w:tcPr>
          <w:p w14:paraId="3704780D" w14:textId="77777777" w:rsidR="00C21962" w:rsidRDefault="00C21962">
            <w:pPr>
              <w:jc w:val="center"/>
              <w:rPr>
                <w:sz w:val="19"/>
                <w:szCs w:val="28"/>
                <w:lang w:val="en-US"/>
              </w:rPr>
            </w:pPr>
            <w:r>
              <w:rPr>
                <w:sz w:val="19"/>
                <w:szCs w:val="28"/>
                <w:lang w:val="en-US"/>
              </w:rPr>
              <w:t>celkem</w:t>
            </w:r>
          </w:p>
        </w:tc>
        <w:tc>
          <w:tcPr>
            <w:tcW w:w="2264" w:type="dxa"/>
            <w:tcBorders>
              <w:top w:val="single" w:sz="4" w:space="0" w:color="auto"/>
              <w:left w:val="single" w:sz="4" w:space="0" w:color="auto"/>
              <w:bottom w:val="single" w:sz="4" w:space="0" w:color="auto"/>
              <w:right w:val="single" w:sz="4" w:space="0" w:color="auto"/>
            </w:tcBorders>
            <w:noWrap/>
            <w:vAlign w:val="bottom"/>
            <w:hideMark/>
          </w:tcPr>
          <w:p w14:paraId="417E6444" w14:textId="77777777" w:rsidR="00C21962" w:rsidRDefault="00C21962">
            <w:pPr>
              <w:jc w:val="center"/>
              <w:rPr>
                <w:sz w:val="19"/>
                <w:szCs w:val="28"/>
                <w:lang w:val="en-US"/>
              </w:rPr>
            </w:pPr>
            <w:r>
              <w:rPr>
                <w:sz w:val="19"/>
                <w:szCs w:val="28"/>
                <w:lang w:val="en-US"/>
              </w:rPr>
              <w:t> </w:t>
            </w:r>
          </w:p>
        </w:tc>
        <w:tc>
          <w:tcPr>
            <w:tcW w:w="2271" w:type="dxa"/>
            <w:tcBorders>
              <w:top w:val="single" w:sz="4" w:space="0" w:color="auto"/>
              <w:left w:val="single" w:sz="4" w:space="0" w:color="auto"/>
              <w:bottom w:val="single" w:sz="4" w:space="0" w:color="auto"/>
              <w:right w:val="single" w:sz="4" w:space="0" w:color="auto"/>
            </w:tcBorders>
            <w:noWrap/>
            <w:vAlign w:val="bottom"/>
            <w:hideMark/>
          </w:tcPr>
          <w:p w14:paraId="28D95182" w14:textId="77777777" w:rsidR="00C21962" w:rsidRDefault="00C21962">
            <w:pPr>
              <w:jc w:val="center"/>
              <w:rPr>
                <w:sz w:val="19"/>
                <w:szCs w:val="28"/>
                <w:lang w:val="en-US"/>
              </w:rPr>
            </w:pPr>
            <w:r>
              <w:rPr>
                <w:sz w:val="19"/>
                <w:szCs w:val="28"/>
                <w:lang w:val="en-US"/>
              </w:rPr>
              <w:t> </w:t>
            </w:r>
          </w:p>
        </w:tc>
      </w:tr>
      <w:tr w:rsidR="00C21962" w14:paraId="7FFA98F1" w14:textId="77777777" w:rsidTr="00AF20B8">
        <w:trPr>
          <w:trHeight w:val="31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0256E09" w14:textId="77777777" w:rsidR="00C21962" w:rsidRDefault="00C21962">
            <w:pPr>
              <w:spacing w:line="240" w:lineRule="auto"/>
              <w:rPr>
                <w:sz w:val="19"/>
                <w:szCs w:val="28"/>
                <w:lang w:val="en-US"/>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14:paraId="26FB2909" w14:textId="77777777" w:rsidR="00C21962" w:rsidRDefault="00C21962">
            <w:pPr>
              <w:spacing w:line="240" w:lineRule="auto"/>
              <w:rPr>
                <w:sz w:val="19"/>
                <w:szCs w:val="28"/>
                <w:lang w:val="en-US"/>
              </w:rPr>
            </w:pPr>
          </w:p>
        </w:tc>
        <w:tc>
          <w:tcPr>
            <w:tcW w:w="2264" w:type="dxa"/>
            <w:tcBorders>
              <w:top w:val="single" w:sz="4" w:space="0" w:color="auto"/>
              <w:left w:val="single" w:sz="4" w:space="0" w:color="auto"/>
              <w:bottom w:val="single" w:sz="4" w:space="0" w:color="auto"/>
              <w:right w:val="single" w:sz="4" w:space="0" w:color="auto"/>
            </w:tcBorders>
            <w:noWrap/>
            <w:vAlign w:val="bottom"/>
            <w:hideMark/>
          </w:tcPr>
          <w:p w14:paraId="0C6208FA" w14:textId="77777777" w:rsidR="00C21962" w:rsidRDefault="00C21962">
            <w:pPr>
              <w:jc w:val="center"/>
              <w:rPr>
                <w:sz w:val="19"/>
                <w:szCs w:val="28"/>
                <w:lang w:val="en-US"/>
              </w:rPr>
            </w:pPr>
            <w:r>
              <w:rPr>
                <w:sz w:val="19"/>
                <w:szCs w:val="28"/>
                <w:lang w:val="en-US"/>
              </w:rPr>
              <w:t>platy</w:t>
            </w:r>
          </w:p>
        </w:tc>
        <w:tc>
          <w:tcPr>
            <w:tcW w:w="2271" w:type="dxa"/>
            <w:tcBorders>
              <w:top w:val="single" w:sz="4" w:space="0" w:color="auto"/>
              <w:left w:val="single" w:sz="4" w:space="0" w:color="auto"/>
              <w:bottom w:val="single" w:sz="4" w:space="0" w:color="auto"/>
              <w:right w:val="single" w:sz="4" w:space="0" w:color="auto"/>
            </w:tcBorders>
            <w:noWrap/>
            <w:vAlign w:val="bottom"/>
            <w:hideMark/>
          </w:tcPr>
          <w:p w14:paraId="27FF15F8" w14:textId="77777777" w:rsidR="00C21962" w:rsidRDefault="00C21962">
            <w:pPr>
              <w:jc w:val="center"/>
              <w:rPr>
                <w:sz w:val="19"/>
                <w:szCs w:val="28"/>
                <w:lang w:val="en-US"/>
              </w:rPr>
            </w:pPr>
            <w:r>
              <w:rPr>
                <w:sz w:val="19"/>
                <w:szCs w:val="28"/>
                <w:lang w:val="en-US"/>
              </w:rPr>
              <w:t>OON</w:t>
            </w:r>
          </w:p>
        </w:tc>
      </w:tr>
      <w:tr w:rsidR="00C21962" w14:paraId="79A6F9A3" w14:textId="77777777" w:rsidTr="00AF20B8">
        <w:trPr>
          <w:trHeight w:val="31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BCA4B30" w14:textId="77777777" w:rsidR="00C21962" w:rsidRDefault="00C21962">
            <w:pPr>
              <w:spacing w:line="240" w:lineRule="auto"/>
              <w:rPr>
                <w:sz w:val="19"/>
                <w:szCs w:val="28"/>
                <w:lang w:val="en-US"/>
              </w:rPr>
            </w:pPr>
          </w:p>
        </w:tc>
        <w:tc>
          <w:tcPr>
            <w:tcW w:w="3120" w:type="dxa"/>
            <w:tcBorders>
              <w:top w:val="single" w:sz="4" w:space="0" w:color="auto"/>
              <w:left w:val="single" w:sz="4" w:space="0" w:color="auto"/>
              <w:bottom w:val="single" w:sz="4" w:space="0" w:color="auto"/>
              <w:right w:val="single" w:sz="4" w:space="0" w:color="auto"/>
            </w:tcBorders>
            <w:noWrap/>
            <w:vAlign w:val="bottom"/>
            <w:hideMark/>
          </w:tcPr>
          <w:p w14:paraId="2AB3512C" w14:textId="77777777" w:rsidR="00C21962" w:rsidRDefault="00C21962">
            <w:pPr>
              <w:jc w:val="center"/>
              <w:rPr>
                <w:sz w:val="19"/>
                <w:szCs w:val="28"/>
                <w:lang w:val="en-US"/>
              </w:rPr>
            </w:pPr>
            <w:r>
              <w:rPr>
                <w:sz w:val="19"/>
                <w:szCs w:val="28"/>
                <w:lang w:val="en-US"/>
              </w:rPr>
              <w:t>v Kč</w:t>
            </w:r>
          </w:p>
        </w:tc>
        <w:tc>
          <w:tcPr>
            <w:tcW w:w="2264" w:type="dxa"/>
            <w:tcBorders>
              <w:top w:val="single" w:sz="4" w:space="0" w:color="auto"/>
              <w:left w:val="single" w:sz="4" w:space="0" w:color="auto"/>
              <w:bottom w:val="single" w:sz="4" w:space="0" w:color="auto"/>
              <w:right w:val="single" w:sz="4" w:space="0" w:color="auto"/>
            </w:tcBorders>
            <w:noWrap/>
            <w:vAlign w:val="bottom"/>
            <w:hideMark/>
          </w:tcPr>
          <w:p w14:paraId="3C3DCB91" w14:textId="77777777" w:rsidR="00C21962" w:rsidRDefault="00C21962">
            <w:pPr>
              <w:jc w:val="center"/>
              <w:rPr>
                <w:sz w:val="19"/>
                <w:szCs w:val="28"/>
                <w:lang w:val="en-US"/>
              </w:rPr>
            </w:pPr>
            <w:r>
              <w:rPr>
                <w:sz w:val="19"/>
                <w:szCs w:val="28"/>
                <w:lang w:val="en-US"/>
              </w:rPr>
              <w:t>v Kč</w:t>
            </w:r>
          </w:p>
        </w:tc>
        <w:tc>
          <w:tcPr>
            <w:tcW w:w="2271" w:type="dxa"/>
            <w:tcBorders>
              <w:top w:val="single" w:sz="4" w:space="0" w:color="auto"/>
              <w:left w:val="single" w:sz="4" w:space="0" w:color="auto"/>
              <w:bottom w:val="single" w:sz="4" w:space="0" w:color="auto"/>
              <w:right w:val="single" w:sz="4" w:space="0" w:color="auto"/>
            </w:tcBorders>
            <w:noWrap/>
            <w:vAlign w:val="bottom"/>
            <w:hideMark/>
          </w:tcPr>
          <w:p w14:paraId="29B75790" w14:textId="77777777" w:rsidR="00C21962" w:rsidRDefault="00C21962">
            <w:pPr>
              <w:jc w:val="center"/>
              <w:rPr>
                <w:sz w:val="19"/>
                <w:szCs w:val="28"/>
                <w:lang w:val="en-US"/>
              </w:rPr>
            </w:pPr>
            <w:r>
              <w:rPr>
                <w:sz w:val="19"/>
                <w:szCs w:val="28"/>
                <w:lang w:val="en-US"/>
              </w:rPr>
              <w:t>v Kč</w:t>
            </w:r>
          </w:p>
        </w:tc>
      </w:tr>
      <w:tr w:rsidR="00C21962" w14:paraId="3FD648AE"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15C3E99D" w14:textId="77777777" w:rsidR="00C21962" w:rsidRDefault="00C21962">
            <w:pPr>
              <w:spacing w:before="240"/>
              <w:jc w:val="center"/>
              <w:rPr>
                <w:sz w:val="19"/>
                <w:szCs w:val="28"/>
                <w:lang w:val="en-US"/>
              </w:rPr>
            </w:pPr>
            <w:r>
              <w:rPr>
                <w:sz w:val="19"/>
                <w:szCs w:val="28"/>
                <w:lang w:val="en-US"/>
              </w:rPr>
              <w:t>Kraj</w:t>
            </w:r>
          </w:p>
        </w:tc>
        <w:tc>
          <w:tcPr>
            <w:tcW w:w="3120" w:type="dxa"/>
            <w:tcBorders>
              <w:top w:val="single" w:sz="4" w:space="0" w:color="auto"/>
              <w:left w:val="nil"/>
              <w:bottom w:val="single" w:sz="4" w:space="0" w:color="auto"/>
              <w:right w:val="single" w:sz="4" w:space="0" w:color="auto"/>
            </w:tcBorders>
            <w:noWrap/>
            <w:vAlign w:val="bottom"/>
            <w:hideMark/>
          </w:tcPr>
          <w:p w14:paraId="17E5E835" w14:textId="77777777" w:rsidR="00C21962" w:rsidRDefault="00C21962">
            <w:pPr>
              <w:spacing w:before="240"/>
              <w:ind w:right="502"/>
              <w:jc w:val="right"/>
              <w:rPr>
                <w:sz w:val="19"/>
                <w:szCs w:val="28"/>
                <w:highlight w:val="yellow"/>
                <w:lang w:val="en-US"/>
              </w:rPr>
            </w:pPr>
            <w:r>
              <w:rPr>
                <w:sz w:val="19"/>
                <w:szCs w:val="28"/>
                <w:lang w:val="en-US"/>
              </w:rPr>
              <w:t>4 359 842 082</w:t>
            </w:r>
          </w:p>
        </w:tc>
        <w:tc>
          <w:tcPr>
            <w:tcW w:w="2264" w:type="dxa"/>
            <w:tcBorders>
              <w:top w:val="nil"/>
              <w:left w:val="nil"/>
              <w:bottom w:val="single" w:sz="8" w:space="0" w:color="auto"/>
              <w:right w:val="single" w:sz="8" w:space="0" w:color="auto"/>
            </w:tcBorders>
            <w:noWrap/>
            <w:vAlign w:val="bottom"/>
            <w:hideMark/>
          </w:tcPr>
          <w:p w14:paraId="6A09E742" w14:textId="77777777" w:rsidR="00C21962" w:rsidRDefault="00C21962">
            <w:pPr>
              <w:spacing w:before="240"/>
              <w:ind w:right="502"/>
              <w:jc w:val="right"/>
              <w:rPr>
                <w:sz w:val="19"/>
                <w:szCs w:val="28"/>
                <w:lang w:val="en-US"/>
              </w:rPr>
            </w:pPr>
            <w:r>
              <w:rPr>
                <w:sz w:val="19"/>
                <w:szCs w:val="28"/>
                <w:lang w:val="en-US"/>
              </w:rPr>
              <w:t>3 169 029 272</w:t>
            </w:r>
          </w:p>
        </w:tc>
        <w:tc>
          <w:tcPr>
            <w:tcW w:w="2271" w:type="dxa"/>
            <w:tcBorders>
              <w:top w:val="nil"/>
              <w:left w:val="nil"/>
              <w:bottom w:val="single" w:sz="8" w:space="0" w:color="auto"/>
              <w:right w:val="single" w:sz="8" w:space="0" w:color="auto"/>
            </w:tcBorders>
            <w:noWrap/>
            <w:vAlign w:val="bottom"/>
            <w:hideMark/>
          </w:tcPr>
          <w:p w14:paraId="18F9BD0D" w14:textId="77777777" w:rsidR="00C21962" w:rsidRDefault="00C21962">
            <w:pPr>
              <w:spacing w:before="240"/>
              <w:ind w:right="502"/>
              <w:jc w:val="right"/>
              <w:rPr>
                <w:sz w:val="19"/>
                <w:szCs w:val="28"/>
                <w:lang w:val="en-US"/>
              </w:rPr>
            </w:pPr>
            <w:r>
              <w:rPr>
                <w:sz w:val="19"/>
                <w:szCs w:val="28"/>
                <w:lang w:val="en-US"/>
              </w:rPr>
              <w:t>39 663 778</w:t>
            </w:r>
          </w:p>
        </w:tc>
      </w:tr>
      <w:tr w:rsidR="00C21962" w14:paraId="05D5FE5D"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1AAF1474" w14:textId="77777777" w:rsidR="00C21962" w:rsidRDefault="00C21962">
            <w:pPr>
              <w:spacing w:before="240"/>
              <w:jc w:val="center"/>
              <w:rPr>
                <w:sz w:val="19"/>
                <w:szCs w:val="28"/>
                <w:lang w:val="en-US"/>
              </w:rPr>
            </w:pPr>
            <w:r>
              <w:rPr>
                <w:sz w:val="19"/>
                <w:szCs w:val="28"/>
                <w:lang w:val="en-US"/>
              </w:rPr>
              <w:t>Obec</w:t>
            </w:r>
          </w:p>
        </w:tc>
        <w:tc>
          <w:tcPr>
            <w:tcW w:w="3120" w:type="dxa"/>
            <w:tcBorders>
              <w:top w:val="single" w:sz="4" w:space="0" w:color="auto"/>
              <w:left w:val="single" w:sz="4" w:space="0" w:color="auto"/>
              <w:bottom w:val="single" w:sz="4" w:space="0" w:color="auto"/>
              <w:right w:val="single" w:sz="4" w:space="0" w:color="auto"/>
            </w:tcBorders>
            <w:noWrap/>
            <w:vAlign w:val="bottom"/>
            <w:hideMark/>
          </w:tcPr>
          <w:p w14:paraId="49B0666E" w14:textId="77777777" w:rsidR="00C21962" w:rsidRDefault="00C21962">
            <w:pPr>
              <w:spacing w:before="240"/>
              <w:ind w:right="502"/>
              <w:jc w:val="right"/>
              <w:rPr>
                <w:sz w:val="19"/>
                <w:szCs w:val="28"/>
                <w:highlight w:val="yellow"/>
                <w:lang w:val="en-US"/>
              </w:rPr>
            </w:pPr>
            <w:r>
              <w:rPr>
                <w:sz w:val="19"/>
                <w:szCs w:val="28"/>
                <w:lang w:val="en-US"/>
              </w:rPr>
              <w:t>7 885 099 613</w:t>
            </w:r>
          </w:p>
        </w:tc>
        <w:tc>
          <w:tcPr>
            <w:tcW w:w="2264" w:type="dxa"/>
            <w:tcBorders>
              <w:top w:val="nil"/>
              <w:left w:val="nil"/>
              <w:bottom w:val="single" w:sz="8" w:space="0" w:color="auto"/>
              <w:right w:val="single" w:sz="8" w:space="0" w:color="auto"/>
            </w:tcBorders>
            <w:noWrap/>
            <w:vAlign w:val="bottom"/>
            <w:hideMark/>
          </w:tcPr>
          <w:p w14:paraId="0F565DF5" w14:textId="77777777" w:rsidR="00C21962" w:rsidRDefault="00C21962">
            <w:pPr>
              <w:spacing w:before="240"/>
              <w:ind w:right="502"/>
              <w:jc w:val="right"/>
              <w:rPr>
                <w:sz w:val="19"/>
                <w:szCs w:val="28"/>
                <w:lang w:val="en-US"/>
              </w:rPr>
            </w:pPr>
            <w:r>
              <w:rPr>
                <w:sz w:val="19"/>
                <w:szCs w:val="28"/>
                <w:lang w:val="en-US"/>
              </w:rPr>
              <w:t>5 771 615 762</w:t>
            </w:r>
          </w:p>
        </w:tc>
        <w:tc>
          <w:tcPr>
            <w:tcW w:w="2271" w:type="dxa"/>
            <w:tcBorders>
              <w:top w:val="nil"/>
              <w:left w:val="nil"/>
              <w:bottom w:val="single" w:sz="8" w:space="0" w:color="auto"/>
              <w:right w:val="single" w:sz="8" w:space="0" w:color="auto"/>
            </w:tcBorders>
            <w:noWrap/>
            <w:vAlign w:val="bottom"/>
            <w:hideMark/>
          </w:tcPr>
          <w:p w14:paraId="7F5F4B3A" w14:textId="77777777" w:rsidR="00C21962" w:rsidRDefault="00C21962">
            <w:pPr>
              <w:spacing w:before="240"/>
              <w:ind w:right="502"/>
              <w:jc w:val="right"/>
              <w:rPr>
                <w:sz w:val="19"/>
                <w:szCs w:val="28"/>
                <w:lang w:val="en-US"/>
              </w:rPr>
            </w:pPr>
            <w:r>
              <w:rPr>
                <w:sz w:val="19"/>
                <w:szCs w:val="28"/>
                <w:lang w:val="en-US"/>
              </w:rPr>
              <w:t>25 303 854</w:t>
            </w:r>
          </w:p>
        </w:tc>
      </w:tr>
      <w:tr w:rsidR="00C21962" w14:paraId="04BC7B3F"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7D8BE6DC" w14:textId="77777777" w:rsidR="00C21962" w:rsidRDefault="00C21962">
            <w:pPr>
              <w:jc w:val="center"/>
              <w:rPr>
                <w:sz w:val="19"/>
                <w:szCs w:val="28"/>
                <w:lang w:val="en-US"/>
              </w:rPr>
            </w:pPr>
            <w:r>
              <w:rPr>
                <w:sz w:val="19"/>
                <w:szCs w:val="28"/>
                <w:lang w:val="en-US"/>
              </w:rPr>
              <w:t>Rezerva</w:t>
            </w:r>
          </w:p>
        </w:tc>
        <w:tc>
          <w:tcPr>
            <w:tcW w:w="3120" w:type="dxa"/>
            <w:tcBorders>
              <w:top w:val="nil"/>
              <w:left w:val="nil"/>
              <w:bottom w:val="single" w:sz="8" w:space="0" w:color="auto"/>
              <w:right w:val="single" w:sz="8" w:space="0" w:color="auto"/>
            </w:tcBorders>
            <w:noWrap/>
            <w:vAlign w:val="center"/>
            <w:hideMark/>
          </w:tcPr>
          <w:p w14:paraId="7B248526" w14:textId="77777777" w:rsidR="00C21962" w:rsidRDefault="00C21962">
            <w:pPr>
              <w:spacing w:before="240"/>
              <w:ind w:right="502"/>
              <w:jc w:val="right"/>
              <w:rPr>
                <w:sz w:val="19"/>
                <w:szCs w:val="28"/>
                <w:lang w:val="en-US"/>
              </w:rPr>
            </w:pPr>
            <w:r>
              <w:rPr>
                <w:sz w:val="19"/>
                <w:szCs w:val="28"/>
                <w:lang w:val="en-US"/>
              </w:rPr>
              <w:t>36 776 019</w:t>
            </w:r>
          </w:p>
        </w:tc>
        <w:tc>
          <w:tcPr>
            <w:tcW w:w="2264" w:type="dxa"/>
            <w:tcBorders>
              <w:top w:val="nil"/>
              <w:left w:val="nil"/>
              <w:bottom w:val="single" w:sz="8" w:space="0" w:color="auto"/>
              <w:right w:val="single" w:sz="8" w:space="0" w:color="auto"/>
            </w:tcBorders>
            <w:noWrap/>
            <w:vAlign w:val="center"/>
            <w:hideMark/>
          </w:tcPr>
          <w:p w14:paraId="4314ED21" w14:textId="77777777" w:rsidR="00C21962" w:rsidRDefault="00C21962">
            <w:pPr>
              <w:spacing w:before="240"/>
              <w:ind w:right="502"/>
              <w:jc w:val="right"/>
              <w:rPr>
                <w:sz w:val="19"/>
                <w:szCs w:val="28"/>
                <w:lang w:val="en-US"/>
              </w:rPr>
            </w:pPr>
            <w:r>
              <w:rPr>
                <w:sz w:val="19"/>
                <w:szCs w:val="28"/>
                <w:lang w:val="en-US"/>
              </w:rPr>
              <w:t>9 244 485</w:t>
            </w:r>
          </w:p>
        </w:tc>
        <w:tc>
          <w:tcPr>
            <w:tcW w:w="2271" w:type="dxa"/>
            <w:tcBorders>
              <w:top w:val="nil"/>
              <w:left w:val="nil"/>
              <w:bottom w:val="single" w:sz="8" w:space="0" w:color="auto"/>
              <w:right w:val="single" w:sz="8" w:space="0" w:color="auto"/>
            </w:tcBorders>
            <w:noWrap/>
            <w:vAlign w:val="center"/>
            <w:hideMark/>
          </w:tcPr>
          <w:p w14:paraId="14D9DB3D" w14:textId="77777777" w:rsidR="00C21962" w:rsidRDefault="00C21962">
            <w:pPr>
              <w:spacing w:before="240"/>
              <w:ind w:right="502"/>
              <w:jc w:val="right"/>
              <w:rPr>
                <w:sz w:val="19"/>
                <w:szCs w:val="28"/>
                <w:lang w:val="en-US"/>
              </w:rPr>
            </w:pPr>
            <w:r>
              <w:rPr>
                <w:sz w:val="19"/>
                <w:szCs w:val="28"/>
                <w:lang w:val="en-US"/>
              </w:rPr>
              <w:t>77 206</w:t>
            </w:r>
          </w:p>
        </w:tc>
      </w:tr>
      <w:tr w:rsidR="00C21962" w14:paraId="06CA8D2F"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4DD0C952" w14:textId="77777777" w:rsidR="00C21962" w:rsidRDefault="00C21962">
            <w:pPr>
              <w:jc w:val="center"/>
              <w:rPr>
                <w:sz w:val="19"/>
                <w:szCs w:val="28"/>
                <w:lang w:val="en-US"/>
              </w:rPr>
            </w:pPr>
            <w:r>
              <w:rPr>
                <w:sz w:val="19"/>
                <w:szCs w:val="28"/>
                <w:lang w:val="en-US"/>
              </w:rPr>
              <w:t>Celkem 2025</w:t>
            </w:r>
          </w:p>
        </w:tc>
        <w:tc>
          <w:tcPr>
            <w:tcW w:w="3120" w:type="dxa"/>
            <w:tcBorders>
              <w:top w:val="single" w:sz="4" w:space="0" w:color="auto"/>
              <w:left w:val="single" w:sz="4" w:space="0" w:color="auto"/>
              <w:bottom w:val="single" w:sz="4" w:space="0" w:color="auto"/>
              <w:right w:val="single" w:sz="4" w:space="0" w:color="auto"/>
            </w:tcBorders>
            <w:noWrap/>
            <w:vAlign w:val="bottom"/>
            <w:hideMark/>
          </w:tcPr>
          <w:p w14:paraId="5DC839C9" w14:textId="77777777" w:rsidR="00C21962" w:rsidRDefault="00C21962">
            <w:pPr>
              <w:spacing w:before="240"/>
              <w:ind w:right="502"/>
              <w:jc w:val="right"/>
              <w:rPr>
                <w:b/>
                <w:bCs/>
                <w:sz w:val="19"/>
                <w:szCs w:val="28"/>
                <w:lang w:val="en-US"/>
              </w:rPr>
            </w:pPr>
            <w:r>
              <w:rPr>
                <w:b/>
                <w:bCs/>
                <w:sz w:val="19"/>
                <w:szCs w:val="28"/>
                <w:lang w:val="en-US"/>
              </w:rPr>
              <w:t>12 281 717 714</w:t>
            </w:r>
          </w:p>
        </w:tc>
        <w:tc>
          <w:tcPr>
            <w:tcW w:w="2264" w:type="dxa"/>
            <w:tcBorders>
              <w:top w:val="single" w:sz="4" w:space="0" w:color="auto"/>
              <w:left w:val="single" w:sz="4" w:space="0" w:color="auto"/>
              <w:bottom w:val="single" w:sz="4" w:space="0" w:color="auto"/>
              <w:right w:val="single" w:sz="4" w:space="0" w:color="auto"/>
            </w:tcBorders>
            <w:noWrap/>
            <w:vAlign w:val="bottom"/>
            <w:hideMark/>
          </w:tcPr>
          <w:p w14:paraId="655DBC8B" w14:textId="77777777" w:rsidR="00C21962" w:rsidRDefault="00C21962">
            <w:pPr>
              <w:spacing w:before="240"/>
              <w:ind w:right="502"/>
              <w:jc w:val="right"/>
              <w:rPr>
                <w:b/>
                <w:bCs/>
                <w:sz w:val="19"/>
                <w:szCs w:val="28"/>
                <w:lang w:val="en-US"/>
              </w:rPr>
            </w:pPr>
            <w:r>
              <w:rPr>
                <w:b/>
                <w:bCs/>
                <w:sz w:val="19"/>
                <w:szCs w:val="28"/>
                <w:lang w:val="en-US"/>
              </w:rPr>
              <w:t>8 949 889 519</w:t>
            </w:r>
          </w:p>
        </w:tc>
        <w:tc>
          <w:tcPr>
            <w:tcW w:w="2271" w:type="dxa"/>
            <w:tcBorders>
              <w:top w:val="single" w:sz="4" w:space="0" w:color="auto"/>
              <w:left w:val="nil"/>
              <w:bottom w:val="single" w:sz="4" w:space="0" w:color="auto"/>
              <w:right w:val="single" w:sz="4" w:space="0" w:color="auto"/>
            </w:tcBorders>
            <w:noWrap/>
            <w:vAlign w:val="bottom"/>
            <w:hideMark/>
          </w:tcPr>
          <w:p w14:paraId="5817093F" w14:textId="77777777" w:rsidR="00C21962" w:rsidRDefault="00C21962">
            <w:pPr>
              <w:spacing w:before="240"/>
              <w:ind w:right="502"/>
              <w:jc w:val="right"/>
              <w:rPr>
                <w:b/>
                <w:bCs/>
                <w:sz w:val="19"/>
                <w:szCs w:val="28"/>
                <w:lang w:val="en-US"/>
              </w:rPr>
            </w:pPr>
            <w:r>
              <w:rPr>
                <w:b/>
                <w:bCs/>
                <w:sz w:val="19"/>
                <w:szCs w:val="28"/>
                <w:lang w:val="en-US"/>
              </w:rPr>
              <w:t>65 044 838</w:t>
            </w:r>
          </w:p>
        </w:tc>
      </w:tr>
    </w:tbl>
    <w:p w14:paraId="2396E8A4" w14:textId="77777777" w:rsidR="00C21962" w:rsidRDefault="00C21962" w:rsidP="00AF20B8">
      <w:pPr>
        <w:jc w:val="both"/>
        <w:rPr>
          <w:sz w:val="19"/>
          <w:szCs w:val="28"/>
        </w:rPr>
      </w:pPr>
      <w:r>
        <w:rPr>
          <w:sz w:val="19"/>
          <w:szCs w:val="28"/>
        </w:rPr>
        <w:t>Tab. 3 – Rozpis rozpočtu přímých výdajů regionálního školství v Jihočeském kraji k 26. 6. 2025 pokračování</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2128"/>
        <w:gridCol w:w="1843"/>
        <w:gridCol w:w="1844"/>
        <w:gridCol w:w="142"/>
        <w:gridCol w:w="1702"/>
      </w:tblGrid>
      <w:tr w:rsidR="00C21962" w14:paraId="0EB27094" w14:textId="77777777" w:rsidTr="00AF20B8">
        <w:trPr>
          <w:trHeight w:val="318"/>
        </w:trPr>
        <w:tc>
          <w:tcPr>
            <w:tcW w:w="1701" w:type="dxa"/>
            <w:vMerge w:val="restart"/>
            <w:tcBorders>
              <w:top w:val="single" w:sz="4" w:space="0" w:color="auto"/>
              <w:left w:val="single" w:sz="4" w:space="0" w:color="auto"/>
              <w:bottom w:val="single" w:sz="4" w:space="0" w:color="auto"/>
              <w:right w:val="single" w:sz="4" w:space="0" w:color="auto"/>
            </w:tcBorders>
          </w:tcPr>
          <w:p w14:paraId="6F67A7A1" w14:textId="77777777" w:rsidR="00C21962" w:rsidRDefault="00C21962">
            <w:pPr>
              <w:jc w:val="center"/>
              <w:rPr>
                <w:sz w:val="19"/>
                <w:szCs w:val="28"/>
              </w:rPr>
            </w:pPr>
          </w:p>
          <w:p w14:paraId="7696B356" w14:textId="77777777" w:rsidR="00C21962" w:rsidRDefault="00C21962">
            <w:pPr>
              <w:jc w:val="center"/>
              <w:rPr>
                <w:sz w:val="19"/>
                <w:szCs w:val="28"/>
              </w:rPr>
            </w:pPr>
          </w:p>
          <w:p w14:paraId="0E6AE128" w14:textId="77777777" w:rsidR="00C21962" w:rsidRDefault="00C21962">
            <w:pPr>
              <w:jc w:val="center"/>
              <w:rPr>
                <w:sz w:val="19"/>
                <w:szCs w:val="28"/>
              </w:rPr>
            </w:pPr>
          </w:p>
          <w:p w14:paraId="354C7933" w14:textId="77777777" w:rsidR="00C21962" w:rsidRDefault="00C21962">
            <w:pPr>
              <w:jc w:val="center"/>
              <w:rPr>
                <w:sz w:val="19"/>
                <w:szCs w:val="28"/>
                <w:lang w:val="en-US"/>
              </w:rPr>
            </w:pPr>
            <w:r>
              <w:rPr>
                <w:sz w:val="19"/>
                <w:szCs w:val="28"/>
                <w:lang w:val="en-US"/>
              </w:rPr>
              <w:t>Zřizovatel</w:t>
            </w:r>
          </w:p>
        </w:tc>
        <w:tc>
          <w:tcPr>
            <w:tcW w:w="7655" w:type="dxa"/>
            <w:gridSpan w:val="5"/>
            <w:tcBorders>
              <w:top w:val="single" w:sz="4" w:space="0" w:color="auto"/>
              <w:left w:val="single" w:sz="4" w:space="0" w:color="auto"/>
              <w:bottom w:val="single" w:sz="4" w:space="0" w:color="auto"/>
              <w:right w:val="single" w:sz="4" w:space="0" w:color="auto"/>
            </w:tcBorders>
            <w:vAlign w:val="bottom"/>
            <w:hideMark/>
          </w:tcPr>
          <w:p w14:paraId="51D25FCF" w14:textId="77777777" w:rsidR="00C21962" w:rsidRDefault="00C21962">
            <w:pPr>
              <w:jc w:val="center"/>
              <w:rPr>
                <w:sz w:val="19"/>
                <w:szCs w:val="28"/>
                <w:lang w:val="en-US"/>
              </w:rPr>
            </w:pPr>
            <w:r>
              <w:rPr>
                <w:sz w:val="19"/>
                <w:szCs w:val="28"/>
                <w:lang w:val="en-US"/>
              </w:rPr>
              <w:t>Orientační ukazatele</w:t>
            </w:r>
          </w:p>
        </w:tc>
      </w:tr>
      <w:tr w:rsidR="00C21962" w14:paraId="29651348" w14:textId="77777777" w:rsidTr="00AF20B8">
        <w:trPr>
          <w:trHeight w:val="31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E959237" w14:textId="77777777" w:rsidR="00C21962" w:rsidRDefault="00C21962">
            <w:pPr>
              <w:spacing w:line="240" w:lineRule="auto"/>
              <w:rPr>
                <w:sz w:val="19"/>
                <w:szCs w:val="28"/>
                <w:lang w:val="en-US"/>
              </w:rPr>
            </w:pPr>
          </w:p>
        </w:tc>
        <w:tc>
          <w:tcPr>
            <w:tcW w:w="3969" w:type="dxa"/>
            <w:gridSpan w:val="2"/>
            <w:tcBorders>
              <w:top w:val="single" w:sz="4" w:space="0" w:color="auto"/>
              <w:left w:val="single" w:sz="4" w:space="0" w:color="auto"/>
              <w:bottom w:val="single" w:sz="4" w:space="0" w:color="auto"/>
              <w:right w:val="single" w:sz="4" w:space="0" w:color="auto"/>
            </w:tcBorders>
            <w:noWrap/>
            <w:vAlign w:val="bottom"/>
            <w:hideMark/>
          </w:tcPr>
          <w:p w14:paraId="7B172783" w14:textId="77777777" w:rsidR="00C21962" w:rsidRDefault="00C21962">
            <w:pPr>
              <w:jc w:val="center"/>
              <w:rPr>
                <w:sz w:val="19"/>
                <w:szCs w:val="28"/>
                <w:lang w:val="en-US"/>
              </w:rPr>
            </w:pPr>
            <w:r>
              <w:rPr>
                <w:sz w:val="19"/>
                <w:szCs w:val="28"/>
                <w:lang w:val="en-US"/>
              </w:rPr>
              <w:t>Odvody</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253BD35" w14:textId="77777777" w:rsidR="00C21962" w:rsidRDefault="00C21962">
            <w:pPr>
              <w:jc w:val="center"/>
              <w:rPr>
                <w:sz w:val="19"/>
                <w:szCs w:val="28"/>
                <w:lang w:val="en-US"/>
              </w:rPr>
            </w:pPr>
            <w:r>
              <w:rPr>
                <w:sz w:val="19"/>
                <w:szCs w:val="28"/>
                <w:lang w:val="en-US"/>
              </w:rPr>
              <w:t>ONIV</w:t>
            </w:r>
          </w:p>
        </w:tc>
        <w:tc>
          <w:tcPr>
            <w:tcW w:w="1843" w:type="dxa"/>
            <w:gridSpan w:val="2"/>
            <w:tcBorders>
              <w:top w:val="single" w:sz="4" w:space="0" w:color="auto"/>
              <w:left w:val="single" w:sz="4" w:space="0" w:color="auto"/>
              <w:bottom w:val="single" w:sz="4" w:space="0" w:color="auto"/>
              <w:right w:val="single" w:sz="4" w:space="0" w:color="auto"/>
            </w:tcBorders>
            <w:hideMark/>
          </w:tcPr>
          <w:p w14:paraId="218E7465" w14:textId="77777777" w:rsidR="00C21962" w:rsidRDefault="00C21962">
            <w:pPr>
              <w:jc w:val="center"/>
              <w:rPr>
                <w:sz w:val="19"/>
                <w:szCs w:val="28"/>
                <w:lang w:val="en-US"/>
              </w:rPr>
            </w:pPr>
            <w:r>
              <w:rPr>
                <w:sz w:val="19"/>
                <w:szCs w:val="28"/>
                <w:lang w:val="en-US"/>
              </w:rPr>
              <w:t>Počet</w:t>
            </w:r>
          </w:p>
          <w:p w14:paraId="71140DDF" w14:textId="77777777" w:rsidR="00C21962" w:rsidRDefault="00C21962">
            <w:pPr>
              <w:jc w:val="center"/>
              <w:rPr>
                <w:sz w:val="19"/>
                <w:szCs w:val="28"/>
                <w:lang w:val="en-US"/>
              </w:rPr>
            </w:pPr>
            <w:r>
              <w:rPr>
                <w:sz w:val="19"/>
                <w:szCs w:val="28"/>
                <w:lang w:val="en-US"/>
              </w:rPr>
              <w:t>zaměstnanců</w:t>
            </w:r>
          </w:p>
        </w:tc>
      </w:tr>
      <w:tr w:rsidR="00C21962" w14:paraId="28C7E19E" w14:textId="77777777" w:rsidTr="00AF20B8">
        <w:trPr>
          <w:trHeight w:val="59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5A180F5" w14:textId="77777777" w:rsidR="00C21962" w:rsidRDefault="00C21962">
            <w:pPr>
              <w:spacing w:line="240" w:lineRule="auto"/>
              <w:rPr>
                <w:sz w:val="19"/>
                <w:szCs w:val="28"/>
                <w:lang w:val="en-US"/>
              </w:rPr>
            </w:pP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3FDCFBA3" w14:textId="77777777" w:rsidR="00C21962" w:rsidRDefault="00C21962">
            <w:pPr>
              <w:jc w:val="center"/>
              <w:rPr>
                <w:sz w:val="19"/>
                <w:szCs w:val="28"/>
                <w:lang w:val="en-US"/>
              </w:rPr>
            </w:pPr>
            <w:r>
              <w:rPr>
                <w:sz w:val="19"/>
                <w:szCs w:val="28"/>
                <w:lang w:val="en-US"/>
              </w:rPr>
              <w:t>pojistné</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BAE84BE" w14:textId="77777777" w:rsidR="00C21962" w:rsidRDefault="00C21962">
            <w:pPr>
              <w:jc w:val="center"/>
              <w:rPr>
                <w:sz w:val="19"/>
                <w:szCs w:val="28"/>
                <w:lang w:val="en-US"/>
              </w:rPr>
            </w:pPr>
            <w:r>
              <w:rPr>
                <w:sz w:val="19"/>
                <w:szCs w:val="28"/>
                <w:lang w:val="en-US"/>
              </w:rPr>
              <w:t>FKSP</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14:paraId="11272F6A" w14:textId="77777777" w:rsidR="00C21962" w:rsidRDefault="00C21962">
            <w:pPr>
              <w:jc w:val="center"/>
              <w:rPr>
                <w:sz w:val="19"/>
                <w:szCs w:val="28"/>
                <w:lang w:val="en-US"/>
              </w:rPr>
            </w:pPr>
            <w:r>
              <w:rPr>
                <w:sz w:val="19"/>
                <w:szCs w:val="28"/>
                <w:lang w:val="en-US"/>
              </w:rPr>
              <w:t> </w:t>
            </w:r>
          </w:p>
        </w:tc>
        <w:tc>
          <w:tcPr>
            <w:tcW w:w="1701" w:type="dxa"/>
            <w:tcBorders>
              <w:top w:val="single" w:sz="4" w:space="0" w:color="auto"/>
              <w:left w:val="single" w:sz="4" w:space="0" w:color="auto"/>
              <w:bottom w:val="single" w:sz="4" w:space="0" w:color="auto"/>
              <w:right w:val="single" w:sz="4" w:space="0" w:color="auto"/>
            </w:tcBorders>
          </w:tcPr>
          <w:p w14:paraId="2752A670" w14:textId="77777777" w:rsidR="00C21962" w:rsidRDefault="00C21962">
            <w:pPr>
              <w:jc w:val="center"/>
              <w:rPr>
                <w:sz w:val="19"/>
                <w:szCs w:val="28"/>
                <w:lang w:val="en-US"/>
              </w:rPr>
            </w:pPr>
          </w:p>
        </w:tc>
      </w:tr>
      <w:tr w:rsidR="00C21962" w14:paraId="77C8D6B0" w14:textId="77777777" w:rsidTr="00AF20B8">
        <w:trPr>
          <w:trHeight w:val="31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7273674" w14:textId="77777777" w:rsidR="00C21962" w:rsidRDefault="00C21962">
            <w:pPr>
              <w:spacing w:line="240" w:lineRule="auto"/>
              <w:rPr>
                <w:sz w:val="19"/>
                <w:szCs w:val="28"/>
                <w:lang w:val="en-US"/>
              </w:rPr>
            </w:pP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5660C1A0" w14:textId="77777777" w:rsidR="00C21962" w:rsidRDefault="00C21962">
            <w:pPr>
              <w:jc w:val="center"/>
              <w:rPr>
                <w:sz w:val="19"/>
                <w:szCs w:val="28"/>
                <w:lang w:val="en-US"/>
              </w:rPr>
            </w:pPr>
            <w:r>
              <w:rPr>
                <w:sz w:val="19"/>
                <w:szCs w:val="28"/>
                <w:lang w:val="en-US"/>
              </w:rPr>
              <w:t>v Kč</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8F10DE3" w14:textId="77777777" w:rsidR="00C21962" w:rsidRDefault="00C21962">
            <w:pPr>
              <w:jc w:val="center"/>
              <w:rPr>
                <w:sz w:val="19"/>
                <w:szCs w:val="28"/>
                <w:lang w:val="en-US"/>
              </w:rPr>
            </w:pPr>
            <w:r>
              <w:rPr>
                <w:sz w:val="19"/>
                <w:szCs w:val="28"/>
                <w:lang w:val="en-US"/>
              </w:rPr>
              <w:t>v Kč</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2AE937C" w14:textId="77777777" w:rsidR="00C21962" w:rsidRDefault="00C21962">
            <w:pPr>
              <w:jc w:val="center"/>
              <w:rPr>
                <w:sz w:val="19"/>
                <w:szCs w:val="28"/>
                <w:lang w:val="en-US"/>
              </w:rPr>
            </w:pPr>
            <w:r>
              <w:rPr>
                <w:sz w:val="19"/>
                <w:szCs w:val="28"/>
                <w:lang w:val="en-US"/>
              </w:rPr>
              <w:t>v Kč</w:t>
            </w:r>
          </w:p>
        </w:tc>
        <w:tc>
          <w:tcPr>
            <w:tcW w:w="1843" w:type="dxa"/>
            <w:gridSpan w:val="2"/>
            <w:tcBorders>
              <w:top w:val="single" w:sz="4" w:space="0" w:color="auto"/>
              <w:left w:val="single" w:sz="4" w:space="0" w:color="auto"/>
              <w:bottom w:val="single" w:sz="4" w:space="0" w:color="auto"/>
              <w:right w:val="single" w:sz="4" w:space="0" w:color="auto"/>
            </w:tcBorders>
            <w:hideMark/>
          </w:tcPr>
          <w:p w14:paraId="6E5CC39A" w14:textId="77777777" w:rsidR="00C21962" w:rsidRDefault="00C21962">
            <w:pPr>
              <w:jc w:val="center"/>
              <w:rPr>
                <w:sz w:val="19"/>
                <w:szCs w:val="28"/>
                <w:lang w:val="en-US"/>
              </w:rPr>
            </w:pPr>
            <w:r>
              <w:rPr>
                <w:sz w:val="19"/>
                <w:szCs w:val="28"/>
                <w:lang w:val="en-US"/>
              </w:rPr>
              <w:t xml:space="preserve">v přepočtených úvazcích </w:t>
            </w:r>
          </w:p>
        </w:tc>
      </w:tr>
      <w:tr w:rsidR="00C21962" w14:paraId="69D7A22C"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vAlign w:val="bottom"/>
            <w:hideMark/>
          </w:tcPr>
          <w:p w14:paraId="6EE125EE" w14:textId="77777777" w:rsidR="00C21962" w:rsidRDefault="00C21962">
            <w:pPr>
              <w:spacing w:before="240"/>
              <w:jc w:val="center"/>
              <w:rPr>
                <w:sz w:val="19"/>
                <w:szCs w:val="28"/>
                <w:lang w:val="en-US"/>
              </w:rPr>
            </w:pPr>
            <w:r>
              <w:rPr>
                <w:sz w:val="19"/>
                <w:szCs w:val="28"/>
                <w:lang w:val="en-US"/>
              </w:rPr>
              <w:t>Kraj</w:t>
            </w:r>
          </w:p>
        </w:tc>
        <w:tc>
          <w:tcPr>
            <w:tcW w:w="2127" w:type="dxa"/>
            <w:tcBorders>
              <w:top w:val="nil"/>
              <w:left w:val="nil"/>
              <w:bottom w:val="single" w:sz="8" w:space="0" w:color="auto"/>
              <w:right w:val="single" w:sz="8" w:space="0" w:color="auto"/>
            </w:tcBorders>
            <w:noWrap/>
            <w:vAlign w:val="bottom"/>
            <w:hideMark/>
          </w:tcPr>
          <w:p w14:paraId="4E790F60" w14:textId="77777777" w:rsidR="00C21962" w:rsidRDefault="00C21962">
            <w:pPr>
              <w:spacing w:before="240"/>
              <w:ind w:right="502"/>
              <w:jc w:val="right"/>
              <w:rPr>
                <w:sz w:val="19"/>
                <w:szCs w:val="28"/>
                <w:lang w:val="en-US"/>
              </w:rPr>
            </w:pPr>
            <w:r>
              <w:rPr>
                <w:sz w:val="19"/>
                <w:szCs w:val="28"/>
                <w:lang w:val="en-US"/>
              </w:rPr>
              <w:t>1 084 538 251</w:t>
            </w:r>
          </w:p>
        </w:tc>
        <w:tc>
          <w:tcPr>
            <w:tcW w:w="1842" w:type="dxa"/>
            <w:tcBorders>
              <w:top w:val="nil"/>
              <w:left w:val="nil"/>
              <w:bottom w:val="single" w:sz="8" w:space="0" w:color="auto"/>
              <w:right w:val="single" w:sz="8" w:space="0" w:color="auto"/>
            </w:tcBorders>
            <w:noWrap/>
            <w:vAlign w:val="bottom"/>
            <w:hideMark/>
          </w:tcPr>
          <w:p w14:paraId="154FAFB8" w14:textId="77777777" w:rsidR="00C21962" w:rsidRDefault="00C21962">
            <w:pPr>
              <w:spacing w:before="240"/>
              <w:ind w:right="502"/>
              <w:jc w:val="right"/>
              <w:rPr>
                <w:sz w:val="19"/>
                <w:szCs w:val="28"/>
                <w:lang w:val="en-US"/>
              </w:rPr>
            </w:pPr>
            <w:r>
              <w:rPr>
                <w:sz w:val="19"/>
                <w:szCs w:val="28"/>
                <w:lang w:val="en-US"/>
              </w:rPr>
              <w:t>31 690 293</w:t>
            </w:r>
          </w:p>
        </w:tc>
        <w:tc>
          <w:tcPr>
            <w:tcW w:w="1843" w:type="dxa"/>
            <w:tcBorders>
              <w:top w:val="nil"/>
              <w:left w:val="nil"/>
              <w:bottom w:val="single" w:sz="8" w:space="0" w:color="auto"/>
              <w:right w:val="single" w:sz="8" w:space="0" w:color="auto"/>
            </w:tcBorders>
            <w:noWrap/>
            <w:vAlign w:val="bottom"/>
            <w:hideMark/>
          </w:tcPr>
          <w:p w14:paraId="2D14D127" w14:textId="77777777" w:rsidR="00C21962" w:rsidRDefault="00C21962">
            <w:pPr>
              <w:spacing w:before="240"/>
              <w:ind w:right="502"/>
              <w:jc w:val="right"/>
              <w:rPr>
                <w:sz w:val="19"/>
                <w:szCs w:val="28"/>
                <w:lang w:val="en-US"/>
              </w:rPr>
            </w:pPr>
            <w:r>
              <w:rPr>
                <w:sz w:val="19"/>
                <w:szCs w:val="28"/>
                <w:lang w:val="en-US"/>
              </w:rPr>
              <w:t>34 920 488</w:t>
            </w:r>
          </w:p>
        </w:tc>
        <w:tc>
          <w:tcPr>
            <w:tcW w:w="1843" w:type="dxa"/>
            <w:gridSpan w:val="2"/>
            <w:tcBorders>
              <w:top w:val="single" w:sz="4" w:space="0" w:color="auto"/>
              <w:left w:val="single" w:sz="4" w:space="0" w:color="auto"/>
              <w:bottom w:val="single" w:sz="4" w:space="0" w:color="auto"/>
              <w:right w:val="single" w:sz="4" w:space="0" w:color="auto"/>
            </w:tcBorders>
            <w:hideMark/>
          </w:tcPr>
          <w:p w14:paraId="12A89E8F" w14:textId="77777777" w:rsidR="00C21962" w:rsidRDefault="00C21962">
            <w:pPr>
              <w:spacing w:before="240"/>
              <w:ind w:right="502"/>
              <w:jc w:val="right"/>
              <w:rPr>
                <w:sz w:val="19"/>
                <w:szCs w:val="28"/>
                <w:lang w:val="en-US"/>
              </w:rPr>
            </w:pPr>
            <w:r>
              <w:rPr>
                <w:sz w:val="19"/>
                <w:szCs w:val="28"/>
                <w:lang w:val="en-US"/>
              </w:rPr>
              <w:t>5 384,1110</w:t>
            </w:r>
          </w:p>
        </w:tc>
      </w:tr>
      <w:tr w:rsidR="00C21962" w14:paraId="7EEB4153"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vAlign w:val="bottom"/>
            <w:hideMark/>
          </w:tcPr>
          <w:p w14:paraId="1075641A" w14:textId="77777777" w:rsidR="00C21962" w:rsidRDefault="00C21962">
            <w:pPr>
              <w:spacing w:before="240"/>
              <w:jc w:val="center"/>
              <w:rPr>
                <w:sz w:val="19"/>
                <w:szCs w:val="28"/>
                <w:lang w:val="en-US"/>
              </w:rPr>
            </w:pPr>
            <w:r>
              <w:rPr>
                <w:sz w:val="19"/>
                <w:szCs w:val="28"/>
                <w:lang w:val="en-US"/>
              </w:rPr>
              <w:t>Obec</w:t>
            </w:r>
          </w:p>
        </w:tc>
        <w:tc>
          <w:tcPr>
            <w:tcW w:w="2127" w:type="dxa"/>
            <w:tcBorders>
              <w:top w:val="nil"/>
              <w:left w:val="nil"/>
              <w:bottom w:val="single" w:sz="8" w:space="0" w:color="auto"/>
              <w:right w:val="single" w:sz="8" w:space="0" w:color="auto"/>
            </w:tcBorders>
            <w:noWrap/>
            <w:vAlign w:val="bottom"/>
            <w:hideMark/>
          </w:tcPr>
          <w:p w14:paraId="028E056D" w14:textId="77777777" w:rsidR="00C21962" w:rsidRDefault="00C21962">
            <w:pPr>
              <w:spacing w:before="240"/>
              <w:ind w:right="502"/>
              <w:jc w:val="right"/>
              <w:rPr>
                <w:sz w:val="19"/>
                <w:szCs w:val="28"/>
                <w:lang w:val="en-US"/>
              </w:rPr>
            </w:pPr>
            <w:r>
              <w:rPr>
                <w:sz w:val="19"/>
                <w:szCs w:val="28"/>
                <w:lang w:val="en-US"/>
              </w:rPr>
              <w:t>1 959 358 830</w:t>
            </w:r>
          </w:p>
        </w:tc>
        <w:tc>
          <w:tcPr>
            <w:tcW w:w="1842" w:type="dxa"/>
            <w:tcBorders>
              <w:top w:val="nil"/>
              <w:left w:val="nil"/>
              <w:bottom w:val="single" w:sz="8" w:space="0" w:color="auto"/>
              <w:right w:val="single" w:sz="8" w:space="0" w:color="auto"/>
            </w:tcBorders>
            <w:noWrap/>
            <w:vAlign w:val="bottom"/>
            <w:hideMark/>
          </w:tcPr>
          <w:p w14:paraId="1D72E11E" w14:textId="77777777" w:rsidR="00C21962" w:rsidRDefault="00C21962">
            <w:pPr>
              <w:spacing w:before="240"/>
              <w:ind w:right="502"/>
              <w:jc w:val="right"/>
              <w:rPr>
                <w:sz w:val="19"/>
                <w:szCs w:val="28"/>
                <w:lang w:val="en-US"/>
              </w:rPr>
            </w:pPr>
            <w:r>
              <w:rPr>
                <w:sz w:val="19"/>
                <w:szCs w:val="28"/>
                <w:lang w:val="en-US"/>
              </w:rPr>
              <w:t>57 716 158</w:t>
            </w:r>
          </w:p>
        </w:tc>
        <w:tc>
          <w:tcPr>
            <w:tcW w:w="1843" w:type="dxa"/>
            <w:tcBorders>
              <w:top w:val="nil"/>
              <w:left w:val="nil"/>
              <w:bottom w:val="single" w:sz="8" w:space="0" w:color="auto"/>
              <w:right w:val="single" w:sz="8" w:space="0" w:color="auto"/>
            </w:tcBorders>
            <w:noWrap/>
            <w:vAlign w:val="bottom"/>
            <w:hideMark/>
          </w:tcPr>
          <w:p w14:paraId="5B33106B" w14:textId="77777777" w:rsidR="00C21962" w:rsidRDefault="00C21962">
            <w:pPr>
              <w:spacing w:before="240"/>
              <w:ind w:right="502"/>
              <w:jc w:val="right"/>
              <w:rPr>
                <w:sz w:val="19"/>
                <w:szCs w:val="28"/>
                <w:lang w:val="en-US"/>
              </w:rPr>
            </w:pPr>
            <w:r>
              <w:rPr>
                <w:sz w:val="19"/>
                <w:szCs w:val="28"/>
                <w:lang w:val="en-US"/>
              </w:rPr>
              <w:t>71 105 009</w:t>
            </w:r>
          </w:p>
        </w:tc>
        <w:tc>
          <w:tcPr>
            <w:tcW w:w="1843" w:type="dxa"/>
            <w:gridSpan w:val="2"/>
            <w:tcBorders>
              <w:top w:val="single" w:sz="4" w:space="0" w:color="auto"/>
              <w:left w:val="single" w:sz="4" w:space="0" w:color="auto"/>
              <w:bottom w:val="single" w:sz="4" w:space="0" w:color="auto"/>
              <w:right w:val="single" w:sz="4" w:space="0" w:color="auto"/>
            </w:tcBorders>
            <w:hideMark/>
          </w:tcPr>
          <w:p w14:paraId="5109C584" w14:textId="77777777" w:rsidR="00C21962" w:rsidRDefault="00C21962">
            <w:pPr>
              <w:spacing w:before="240"/>
              <w:ind w:right="502"/>
              <w:jc w:val="right"/>
              <w:rPr>
                <w:sz w:val="19"/>
                <w:szCs w:val="28"/>
                <w:lang w:val="en-US"/>
              </w:rPr>
            </w:pPr>
            <w:r>
              <w:rPr>
                <w:sz w:val="19"/>
                <w:szCs w:val="28"/>
                <w:lang w:val="en-US"/>
              </w:rPr>
              <w:t>10 898,8907</w:t>
            </w:r>
          </w:p>
        </w:tc>
      </w:tr>
      <w:tr w:rsidR="00C21962" w14:paraId="17436BE8"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vAlign w:val="bottom"/>
            <w:hideMark/>
          </w:tcPr>
          <w:p w14:paraId="22360E55" w14:textId="77777777" w:rsidR="00C21962" w:rsidRDefault="00C21962">
            <w:pPr>
              <w:spacing w:before="240"/>
              <w:jc w:val="center"/>
              <w:rPr>
                <w:sz w:val="19"/>
                <w:szCs w:val="28"/>
                <w:lang w:val="en-US"/>
              </w:rPr>
            </w:pPr>
            <w:r>
              <w:rPr>
                <w:sz w:val="19"/>
                <w:szCs w:val="28"/>
                <w:lang w:val="en-US"/>
              </w:rPr>
              <w:t>Rezerva</w:t>
            </w:r>
          </w:p>
        </w:tc>
        <w:tc>
          <w:tcPr>
            <w:tcW w:w="2127" w:type="dxa"/>
            <w:tcBorders>
              <w:top w:val="nil"/>
              <w:left w:val="nil"/>
              <w:bottom w:val="single" w:sz="8" w:space="0" w:color="auto"/>
              <w:right w:val="single" w:sz="8" w:space="0" w:color="auto"/>
            </w:tcBorders>
            <w:noWrap/>
            <w:vAlign w:val="center"/>
            <w:hideMark/>
          </w:tcPr>
          <w:p w14:paraId="0ED08C0D" w14:textId="77777777" w:rsidR="00C21962" w:rsidRDefault="00C21962">
            <w:pPr>
              <w:spacing w:before="240"/>
              <w:ind w:right="502"/>
              <w:jc w:val="right"/>
              <w:rPr>
                <w:sz w:val="19"/>
                <w:szCs w:val="28"/>
                <w:lang w:val="en-US"/>
              </w:rPr>
            </w:pPr>
            <w:r>
              <w:rPr>
                <w:sz w:val="19"/>
                <w:szCs w:val="28"/>
                <w:lang w:val="en-US"/>
              </w:rPr>
              <w:t>3 150 122</w:t>
            </w:r>
          </w:p>
        </w:tc>
        <w:tc>
          <w:tcPr>
            <w:tcW w:w="1842" w:type="dxa"/>
            <w:tcBorders>
              <w:top w:val="nil"/>
              <w:left w:val="nil"/>
              <w:bottom w:val="single" w:sz="8" w:space="0" w:color="auto"/>
              <w:right w:val="single" w:sz="8" w:space="0" w:color="auto"/>
            </w:tcBorders>
            <w:noWrap/>
            <w:vAlign w:val="center"/>
            <w:hideMark/>
          </w:tcPr>
          <w:p w14:paraId="719998E6" w14:textId="77777777" w:rsidR="00C21962" w:rsidRDefault="00C21962">
            <w:pPr>
              <w:spacing w:before="240"/>
              <w:ind w:right="502"/>
              <w:jc w:val="right"/>
              <w:rPr>
                <w:sz w:val="19"/>
                <w:szCs w:val="28"/>
                <w:lang w:val="en-US"/>
              </w:rPr>
            </w:pPr>
            <w:r>
              <w:rPr>
                <w:sz w:val="19"/>
                <w:szCs w:val="28"/>
                <w:lang w:val="en-US"/>
              </w:rPr>
              <w:t>92 611</w:t>
            </w:r>
          </w:p>
        </w:tc>
        <w:tc>
          <w:tcPr>
            <w:tcW w:w="1843" w:type="dxa"/>
            <w:tcBorders>
              <w:top w:val="nil"/>
              <w:left w:val="nil"/>
              <w:bottom w:val="single" w:sz="8" w:space="0" w:color="auto"/>
              <w:right w:val="single" w:sz="8" w:space="0" w:color="auto"/>
            </w:tcBorders>
            <w:noWrap/>
            <w:vAlign w:val="center"/>
            <w:hideMark/>
          </w:tcPr>
          <w:p w14:paraId="2C8BA904" w14:textId="77777777" w:rsidR="00C21962" w:rsidRDefault="00C21962">
            <w:pPr>
              <w:spacing w:before="240"/>
              <w:ind w:right="502"/>
              <w:jc w:val="right"/>
              <w:rPr>
                <w:sz w:val="19"/>
                <w:szCs w:val="28"/>
                <w:lang w:val="en-US"/>
              </w:rPr>
            </w:pPr>
            <w:r>
              <w:rPr>
                <w:sz w:val="19"/>
                <w:szCs w:val="28"/>
                <w:lang w:val="en-US"/>
              </w:rPr>
              <w:t>24 211 595</w:t>
            </w:r>
          </w:p>
        </w:tc>
        <w:tc>
          <w:tcPr>
            <w:tcW w:w="1843" w:type="dxa"/>
            <w:gridSpan w:val="2"/>
            <w:tcBorders>
              <w:top w:val="nil"/>
              <w:left w:val="nil"/>
              <w:bottom w:val="single" w:sz="8" w:space="0" w:color="auto"/>
              <w:right w:val="single" w:sz="8" w:space="0" w:color="auto"/>
            </w:tcBorders>
            <w:vAlign w:val="center"/>
            <w:hideMark/>
          </w:tcPr>
          <w:p w14:paraId="04DFC2DE" w14:textId="77777777" w:rsidR="00C21962" w:rsidRDefault="00C21962">
            <w:pPr>
              <w:spacing w:before="240"/>
              <w:ind w:right="502"/>
              <w:jc w:val="right"/>
              <w:rPr>
                <w:sz w:val="19"/>
                <w:szCs w:val="28"/>
                <w:lang w:val="en-US"/>
              </w:rPr>
            </w:pPr>
            <w:r>
              <w:rPr>
                <w:sz w:val="19"/>
                <w:szCs w:val="28"/>
                <w:lang w:val="en-US"/>
              </w:rPr>
              <w:t>11,79</w:t>
            </w:r>
          </w:p>
        </w:tc>
      </w:tr>
      <w:tr w:rsidR="00C21962" w14:paraId="2108E0A1" w14:textId="77777777" w:rsidTr="00AF20B8">
        <w:trPr>
          <w:trHeight w:val="333"/>
        </w:trPr>
        <w:tc>
          <w:tcPr>
            <w:tcW w:w="1701" w:type="dxa"/>
            <w:tcBorders>
              <w:top w:val="single" w:sz="4" w:space="0" w:color="auto"/>
              <w:left w:val="single" w:sz="4" w:space="0" w:color="auto"/>
              <w:bottom w:val="single" w:sz="4" w:space="0" w:color="auto"/>
              <w:right w:val="single" w:sz="4" w:space="0" w:color="auto"/>
            </w:tcBorders>
            <w:vAlign w:val="bottom"/>
            <w:hideMark/>
          </w:tcPr>
          <w:p w14:paraId="108F7209" w14:textId="77777777" w:rsidR="00C21962" w:rsidRDefault="00C21962">
            <w:pPr>
              <w:jc w:val="center"/>
              <w:rPr>
                <w:sz w:val="19"/>
                <w:szCs w:val="28"/>
                <w:lang w:val="en-US"/>
              </w:rPr>
            </w:pPr>
            <w:r>
              <w:rPr>
                <w:sz w:val="19"/>
                <w:szCs w:val="28"/>
                <w:lang w:val="en-US"/>
              </w:rPr>
              <w:t>Celkem 2025</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6A167312" w14:textId="77777777" w:rsidR="00C21962" w:rsidRDefault="00C21962">
            <w:pPr>
              <w:spacing w:before="240"/>
              <w:ind w:right="502"/>
              <w:jc w:val="right"/>
              <w:rPr>
                <w:b/>
                <w:bCs/>
                <w:sz w:val="19"/>
                <w:szCs w:val="28"/>
                <w:lang w:val="en-US"/>
              </w:rPr>
            </w:pPr>
            <w:r>
              <w:rPr>
                <w:b/>
                <w:bCs/>
                <w:sz w:val="19"/>
                <w:szCs w:val="28"/>
                <w:lang w:val="en-US"/>
              </w:rPr>
              <w:t>3 047 047 203</w:t>
            </w:r>
          </w:p>
        </w:tc>
        <w:tc>
          <w:tcPr>
            <w:tcW w:w="1842" w:type="dxa"/>
            <w:tcBorders>
              <w:top w:val="single" w:sz="4" w:space="0" w:color="auto"/>
              <w:left w:val="nil"/>
              <w:bottom w:val="single" w:sz="4" w:space="0" w:color="auto"/>
              <w:right w:val="single" w:sz="4" w:space="0" w:color="auto"/>
            </w:tcBorders>
            <w:noWrap/>
            <w:vAlign w:val="bottom"/>
            <w:hideMark/>
          </w:tcPr>
          <w:p w14:paraId="7A497564" w14:textId="77777777" w:rsidR="00C21962" w:rsidRDefault="00C21962">
            <w:pPr>
              <w:spacing w:before="240"/>
              <w:ind w:right="502"/>
              <w:jc w:val="right"/>
              <w:rPr>
                <w:b/>
                <w:bCs/>
                <w:sz w:val="19"/>
                <w:szCs w:val="28"/>
                <w:lang w:val="en-US"/>
              </w:rPr>
            </w:pPr>
            <w:r>
              <w:rPr>
                <w:b/>
                <w:bCs/>
                <w:sz w:val="19"/>
                <w:szCs w:val="28"/>
                <w:lang w:val="en-US"/>
              </w:rPr>
              <w:t>89 499 062</w:t>
            </w:r>
          </w:p>
        </w:tc>
        <w:tc>
          <w:tcPr>
            <w:tcW w:w="1843" w:type="dxa"/>
            <w:tcBorders>
              <w:top w:val="single" w:sz="4" w:space="0" w:color="auto"/>
              <w:left w:val="nil"/>
              <w:bottom w:val="single" w:sz="4" w:space="0" w:color="auto"/>
              <w:right w:val="single" w:sz="4" w:space="0" w:color="auto"/>
            </w:tcBorders>
            <w:vAlign w:val="bottom"/>
            <w:hideMark/>
          </w:tcPr>
          <w:p w14:paraId="6F298732" w14:textId="77777777" w:rsidR="00C21962" w:rsidRDefault="00C21962">
            <w:pPr>
              <w:spacing w:before="240"/>
              <w:ind w:right="502"/>
              <w:jc w:val="right"/>
              <w:rPr>
                <w:b/>
                <w:bCs/>
                <w:sz w:val="19"/>
                <w:szCs w:val="28"/>
                <w:lang w:val="en-US"/>
              </w:rPr>
            </w:pPr>
            <w:r>
              <w:rPr>
                <w:b/>
                <w:bCs/>
                <w:sz w:val="19"/>
                <w:szCs w:val="28"/>
                <w:lang w:val="en-US"/>
              </w:rPr>
              <w:t>130 237 092</w:t>
            </w:r>
          </w:p>
        </w:tc>
        <w:tc>
          <w:tcPr>
            <w:tcW w:w="1843" w:type="dxa"/>
            <w:gridSpan w:val="2"/>
            <w:tcBorders>
              <w:top w:val="single" w:sz="4" w:space="0" w:color="auto"/>
              <w:left w:val="nil"/>
              <w:bottom w:val="single" w:sz="4" w:space="0" w:color="auto"/>
              <w:right w:val="single" w:sz="8" w:space="0" w:color="auto"/>
            </w:tcBorders>
            <w:vAlign w:val="bottom"/>
            <w:hideMark/>
          </w:tcPr>
          <w:p w14:paraId="27346B66" w14:textId="77777777" w:rsidR="00C21962" w:rsidRDefault="00C21962">
            <w:pPr>
              <w:spacing w:before="240"/>
              <w:ind w:right="502"/>
              <w:jc w:val="right"/>
              <w:rPr>
                <w:b/>
                <w:bCs/>
                <w:sz w:val="19"/>
                <w:szCs w:val="28"/>
                <w:lang w:val="en-US"/>
              </w:rPr>
            </w:pPr>
            <w:r>
              <w:rPr>
                <w:b/>
                <w:bCs/>
                <w:sz w:val="19"/>
                <w:szCs w:val="28"/>
                <w:lang w:val="en-US"/>
              </w:rPr>
              <w:t>16 294,79</w:t>
            </w:r>
          </w:p>
        </w:tc>
      </w:tr>
    </w:tbl>
    <w:p w14:paraId="6C9E3948" w14:textId="77777777" w:rsidR="00C21962" w:rsidRDefault="00C21962" w:rsidP="002C3C83">
      <w:pPr>
        <w:pStyle w:val="KUJKnormal"/>
      </w:pPr>
    </w:p>
    <w:p w14:paraId="0D087339" w14:textId="77777777" w:rsidR="00C21962" w:rsidRDefault="00C21962" w:rsidP="002C3C83">
      <w:pPr>
        <w:pStyle w:val="KUJKnormal"/>
      </w:pPr>
    </w:p>
    <w:p w14:paraId="1839131F" w14:textId="77777777" w:rsidR="00C21962" w:rsidRPr="00AF20B8" w:rsidRDefault="00C21962" w:rsidP="00AF20B8">
      <w:pPr>
        <w:rPr>
          <w:szCs w:val="28"/>
        </w:rPr>
      </w:pPr>
      <w:r>
        <w:t>Finanční nároky a krytí:</w:t>
      </w:r>
      <w:r w:rsidRPr="00AF20B8">
        <w:t xml:space="preserve"> </w:t>
      </w:r>
      <w:r w:rsidRPr="00AF20B8">
        <w:rPr>
          <w:szCs w:val="28"/>
        </w:rPr>
        <w:t>Jedná se o finanční prostředky ze státního rozpočtu, nemají vliv na rozpočet kraje.</w:t>
      </w:r>
    </w:p>
    <w:p w14:paraId="609F55B1" w14:textId="77777777" w:rsidR="00C21962" w:rsidRDefault="00C21962" w:rsidP="002C3C83">
      <w:pPr>
        <w:pStyle w:val="KUJKnormal"/>
      </w:pPr>
    </w:p>
    <w:p w14:paraId="5BA74170" w14:textId="77777777" w:rsidR="00C21962" w:rsidRDefault="00C21962" w:rsidP="002C3C83">
      <w:pPr>
        <w:pStyle w:val="KUJKnormal"/>
      </w:pPr>
    </w:p>
    <w:p w14:paraId="3A86533C" w14:textId="77777777" w:rsidR="00C21962" w:rsidRDefault="00C21962" w:rsidP="00A060C2">
      <w:pPr>
        <w:pStyle w:val="KUJKnormal"/>
      </w:pPr>
      <w:r>
        <w:t>Vyjádření správce rozpočtu: Bc. Blanka Klímová (OEKO):</w:t>
      </w:r>
      <w:r w:rsidRPr="007666AA">
        <w:t xml:space="preserve"> </w:t>
      </w:r>
      <w:r>
        <w:t xml:space="preserve"> Souhlasím</w:t>
      </w:r>
      <w:r w:rsidRPr="007666AA">
        <w:t xml:space="preserve"> - </w:t>
      </w:r>
      <w:r>
        <w:t xml:space="preserve"> Jedná se o prostředky MŠMT.</w:t>
      </w:r>
    </w:p>
    <w:p w14:paraId="4E33EDB4" w14:textId="77777777" w:rsidR="00C21962" w:rsidRDefault="00C21962" w:rsidP="002C3C83">
      <w:pPr>
        <w:pStyle w:val="KUJKnormal"/>
      </w:pPr>
    </w:p>
    <w:p w14:paraId="3932E21D" w14:textId="77777777" w:rsidR="00C21962" w:rsidRDefault="00C21962" w:rsidP="002C3C83">
      <w:pPr>
        <w:pStyle w:val="KUJKnormal"/>
      </w:pPr>
    </w:p>
    <w:p w14:paraId="70195690" w14:textId="77777777" w:rsidR="00C21962" w:rsidRDefault="00C21962" w:rsidP="002C3C83">
      <w:pPr>
        <w:pStyle w:val="KUJKnormal"/>
      </w:pPr>
      <w:r>
        <w:t>Návrh projednán (stanoviska): VVVZ, RK</w:t>
      </w:r>
    </w:p>
    <w:p w14:paraId="171ABEF6" w14:textId="77777777" w:rsidR="00C21962" w:rsidRDefault="00C21962" w:rsidP="002C3C83">
      <w:pPr>
        <w:pStyle w:val="KUJKnormal"/>
      </w:pPr>
    </w:p>
    <w:p w14:paraId="781CA587" w14:textId="77777777" w:rsidR="00C21962" w:rsidRDefault="00C21962" w:rsidP="002C3C83">
      <w:pPr>
        <w:pStyle w:val="KUJKnormal"/>
      </w:pPr>
    </w:p>
    <w:p w14:paraId="7E0714CA" w14:textId="77777777" w:rsidR="00C21962" w:rsidRPr="007939A8" w:rsidRDefault="00C21962" w:rsidP="002C3C83">
      <w:pPr>
        <w:pStyle w:val="KUJKtucny"/>
      </w:pPr>
      <w:r w:rsidRPr="007939A8">
        <w:t>PŘÍLOHY:</w:t>
      </w:r>
    </w:p>
    <w:p w14:paraId="70B5872F" w14:textId="77777777" w:rsidR="00C21962" w:rsidRPr="00B52AA9" w:rsidRDefault="00C21962" w:rsidP="003D79BD">
      <w:pPr>
        <w:pStyle w:val="KUJKcislovany"/>
        <w:numPr>
          <w:ilvl w:val="0"/>
          <w:numId w:val="0"/>
        </w:numPr>
        <w:spacing w:line="240" w:lineRule="auto"/>
        <w:ind w:left="284" w:hanging="284"/>
      </w:pPr>
      <w:r>
        <w:t>Druhá úprava rozpočtu na rok 2025</w:t>
      </w:r>
    </w:p>
    <w:p w14:paraId="7F101560" w14:textId="77777777" w:rsidR="00C21962" w:rsidRDefault="00C21962" w:rsidP="002C3C83">
      <w:pPr>
        <w:pStyle w:val="KUJKnormal"/>
      </w:pPr>
    </w:p>
    <w:p w14:paraId="2710F518" w14:textId="77777777" w:rsidR="00C21962" w:rsidRDefault="00C21962" w:rsidP="002C3C83">
      <w:pPr>
        <w:pStyle w:val="KUJKnormal"/>
      </w:pPr>
    </w:p>
    <w:p w14:paraId="50975EE0" w14:textId="77777777" w:rsidR="00C21962" w:rsidRPr="007C1EE7" w:rsidRDefault="00C21962" w:rsidP="002C3C83">
      <w:pPr>
        <w:pStyle w:val="KUJKtucny"/>
      </w:pPr>
      <w:r w:rsidRPr="007C1EE7">
        <w:t>Zodpovídá:</w:t>
      </w:r>
      <w:r w:rsidRPr="00AF20B8">
        <w:t xml:space="preserve"> </w:t>
      </w:r>
      <w:r w:rsidRPr="00AF20B8">
        <w:rPr>
          <w:b w:val="0"/>
          <w:bCs/>
        </w:rPr>
        <w:t>vedoucí OŠMT - Ing. Hana Šímová</w:t>
      </w:r>
    </w:p>
    <w:p w14:paraId="5A1FAA50" w14:textId="77777777" w:rsidR="00C21962" w:rsidRDefault="00C21962" w:rsidP="002C3C83">
      <w:pPr>
        <w:pStyle w:val="KUJKnormal"/>
      </w:pPr>
    </w:p>
    <w:p w14:paraId="0BD5B155" w14:textId="77777777" w:rsidR="00C21962" w:rsidRDefault="00C21962" w:rsidP="002C3C83">
      <w:pPr>
        <w:pStyle w:val="KUJKnormal"/>
      </w:pPr>
      <w:r>
        <w:t>Termín kontroly: 9. září 2025</w:t>
      </w:r>
    </w:p>
    <w:p w14:paraId="2000BD6F" w14:textId="77777777" w:rsidR="00C21962" w:rsidRDefault="00C21962" w:rsidP="002C3C83">
      <w:pPr>
        <w:pStyle w:val="KUJKnormal"/>
      </w:pPr>
      <w:r>
        <w:t>Termín splnění: 18. září 2025</w:t>
      </w:r>
    </w:p>
    <w:p w14:paraId="576FFD9A" w14:textId="77777777" w:rsidR="00C21962" w:rsidRPr="00BB6565" w:rsidRDefault="00C21962"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F432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F432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0E8C" w14:textId="77777777" w:rsidR="00C21962" w:rsidRDefault="00C21962" w:rsidP="00C21962">
    <w:r>
      <w:rPr>
        <w:noProof/>
      </w:rPr>
      <w:pict w14:anchorId="0D3561A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89F0956" w14:textId="77777777" w:rsidR="00C21962" w:rsidRPr="00D405BE" w:rsidRDefault="00C21962" w:rsidP="00C21962">
                <w:pPr>
                  <w:spacing w:after="60"/>
                  <w:rPr>
                    <w:rFonts w:cs="Arial"/>
                    <w:b/>
                    <w:sz w:val="22"/>
                  </w:rPr>
                </w:pPr>
                <w:r w:rsidRPr="00D405BE">
                  <w:rPr>
                    <w:rFonts w:cs="Arial"/>
                    <w:b/>
                    <w:sz w:val="22"/>
                  </w:rPr>
                  <w:t>ZASTUPITELSTVO JIHOČESKÉHO KRAJE</w:t>
                </w:r>
              </w:p>
              <w:p w14:paraId="383617E3" w14:textId="77777777" w:rsidR="00C21962" w:rsidRPr="00D405BE" w:rsidRDefault="00C21962" w:rsidP="00C21962">
                <w:pPr>
                  <w:spacing w:after="60"/>
                  <w:rPr>
                    <w:rFonts w:cs="Arial"/>
                    <w:sz w:val="22"/>
                  </w:rPr>
                </w:pPr>
                <w:r w:rsidRPr="00D405BE">
                  <w:rPr>
                    <w:rFonts w:cs="Arial"/>
                    <w:sz w:val="22"/>
                  </w:rPr>
                  <w:t>NÁVRH USNESENÍ</w:t>
                </w:r>
              </w:p>
            </w:txbxContent>
          </v:textbox>
        </v:shape>
      </w:pict>
    </w:r>
    <w:r>
      <w:rPr>
        <w:noProof/>
      </w:rPr>
    </w:r>
    <w:r>
      <w:pict w14:anchorId="67DE0FC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D0F8CF2">
        <v:rect id="_x0000_i1026" style="width:481.9pt;height:2pt" o:hralign="center" o:hrstd="t" o:hrnoshade="t" o:hr="t" fillcolor="black" stroked="f"/>
      </w:pict>
    </w:r>
  </w:p>
  <w:p w14:paraId="735A232C" w14:textId="77777777" w:rsidR="00C21962" w:rsidRPr="00C21962" w:rsidRDefault="00C21962" w:rsidP="00C219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9AA"/>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962"/>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8DA"/>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uiPriority w:val="99"/>
    <w:unhideWhenUsed/>
    <w:rsid w:val="00C219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mt.gov.cz/vzdelavani/skolstvi-v-cr/ekonomika-skolstvi/stanoveni-dalsich-financnich-prostredku-pro-skoly-zrizova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5799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2025-09-19T10:14:00Z</dcterms:created>
  <dcterms:modified xsi:type="dcterms:W3CDTF">2025-09-19T10:14:00Z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6869535</vt:i4>
  </property>
  <property fmtid="{D5CDD505-2E9C-101B-9397-08002B2CF9AE}" pid="5" name="UlozitJako">
    <vt:lpwstr>C:\Users\mrazkova\AppData\Local\Temp\iU77015320\Zastupitelstvo\2025-09-18\Navrhy\243-ZK-25.</vt:lpwstr>
  </property>
  <property fmtid="{D5CDD505-2E9C-101B-9397-08002B2CF9AE}" pid="6" name="Zpracovat">
    <vt:bool>false</vt:bool>
  </property>
</Properties>
</file>