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54537" w14:paraId="6849C650" w14:textId="77777777" w:rsidTr="00205B51">
        <w:trPr>
          <w:trHeight w:hRule="exact" w:val="397"/>
        </w:trPr>
        <w:tc>
          <w:tcPr>
            <w:tcW w:w="2376" w:type="dxa"/>
            <w:hideMark/>
          </w:tcPr>
          <w:p w14:paraId="29B5D6D8" w14:textId="77777777" w:rsidR="00854537" w:rsidRDefault="00854537" w:rsidP="00970720">
            <w:pPr>
              <w:pStyle w:val="KUJKtucny"/>
            </w:pPr>
            <w:r>
              <w:t>Datum jednání:</w:t>
            </w:r>
          </w:p>
        </w:tc>
        <w:tc>
          <w:tcPr>
            <w:tcW w:w="3828" w:type="dxa"/>
            <w:hideMark/>
          </w:tcPr>
          <w:p w14:paraId="3FFFDFD4" w14:textId="77777777" w:rsidR="00854537" w:rsidRDefault="00854537" w:rsidP="00970720">
            <w:pPr>
              <w:pStyle w:val="KUJKnormal"/>
            </w:pPr>
            <w:r>
              <w:t>18. 09. 2025</w:t>
            </w:r>
          </w:p>
        </w:tc>
        <w:tc>
          <w:tcPr>
            <w:tcW w:w="2126" w:type="dxa"/>
            <w:hideMark/>
          </w:tcPr>
          <w:p w14:paraId="563AAD2B" w14:textId="77777777" w:rsidR="00854537" w:rsidRPr="008C2865" w:rsidRDefault="00854537" w:rsidP="00970720">
            <w:pPr>
              <w:pStyle w:val="KUJKtucny"/>
              <w:rPr>
                <w:sz w:val="28"/>
              </w:rPr>
            </w:pPr>
            <w:r>
              <w:t xml:space="preserve">Bod programu: </w:t>
            </w:r>
            <w:r>
              <w:rPr>
                <w:sz w:val="28"/>
              </w:rPr>
              <w:t>58</w:t>
            </w:r>
          </w:p>
        </w:tc>
        <w:tc>
          <w:tcPr>
            <w:tcW w:w="850" w:type="dxa"/>
          </w:tcPr>
          <w:p w14:paraId="24122CB4" w14:textId="77777777" w:rsidR="00854537" w:rsidRDefault="00854537" w:rsidP="00970720">
            <w:pPr>
              <w:pStyle w:val="KUJKnormal"/>
            </w:pPr>
          </w:p>
        </w:tc>
      </w:tr>
      <w:tr w:rsidR="00854537" w14:paraId="12AC17C7" w14:textId="77777777" w:rsidTr="00205B51">
        <w:trPr>
          <w:cantSplit/>
          <w:trHeight w:hRule="exact" w:val="397"/>
        </w:trPr>
        <w:tc>
          <w:tcPr>
            <w:tcW w:w="2376" w:type="dxa"/>
            <w:hideMark/>
          </w:tcPr>
          <w:p w14:paraId="7149CB7E" w14:textId="77777777" w:rsidR="00854537" w:rsidRDefault="00854537" w:rsidP="00970720">
            <w:pPr>
              <w:pStyle w:val="KUJKtucny"/>
            </w:pPr>
            <w:r>
              <w:t>Číslo návrhu:</w:t>
            </w:r>
          </w:p>
        </w:tc>
        <w:tc>
          <w:tcPr>
            <w:tcW w:w="6804" w:type="dxa"/>
            <w:gridSpan w:val="3"/>
            <w:hideMark/>
          </w:tcPr>
          <w:p w14:paraId="37109836" w14:textId="77777777" w:rsidR="00854537" w:rsidRDefault="00854537" w:rsidP="00970720">
            <w:pPr>
              <w:pStyle w:val="KUJKnormal"/>
            </w:pPr>
            <w:r>
              <w:t>242/ZK/25</w:t>
            </w:r>
          </w:p>
        </w:tc>
      </w:tr>
      <w:tr w:rsidR="00854537" w14:paraId="27B6FE4B" w14:textId="77777777" w:rsidTr="00205B51">
        <w:trPr>
          <w:trHeight w:val="397"/>
        </w:trPr>
        <w:tc>
          <w:tcPr>
            <w:tcW w:w="2376" w:type="dxa"/>
          </w:tcPr>
          <w:p w14:paraId="6F18DDB2" w14:textId="77777777" w:rsidR="00854537" w:rsidRDefault="00854537" w:rsidP="00970720"/>
          <w:p w14:paraId="27FDDC8B" w14:textId="77777777" w:rsidR="00854537" w:rsidRDefault="00854537" w:rsidP="00970720">
            <w:pPr>
              <w:pStyle w:val="KUJKtucny"/>
            </w:pPr>
            <w:r>
              <w:t>Název bodu:</w:t>
            </w:r>
          </w:p>
        </w:tc>
        <w:tc>
          <w:tcPr>
            <w:tcW w:w="6804" w:type="dxa"/>
            <w:gridSpan w:val="3"/>
          </w:tcPr>
          <w:p w14:paraId="5102831B" w14:textId="77777777" w:rsidR="00854537" w:rsidRDefault="00854537" w:rsidP="00970720"/>
          <w:p w14:paraId="686C8F01" w14:textId="77777777" w:rsidR="00854537" w:rsidRDefault="00854537" w:rsidP="00970720">
            <w:pPr>
              <w:pStyle w:val="KUJKtucny"/>
              <w:rPr>
                <w:sz w:val="22"/>
                <w:szCs w:val="22"/>
              </w:rPr>
            </w:pPr>
            <w:r>
              <w:rPr>
                <w:sz w:val="22"/>
                <w:szCs w:val="22"/>
              </w:rPr>
              <w:t>Zpráva o činnosti Výboru pro výchovu, vzdělávání a zaměstnanost Zastupitelstva Jihočeského kraje za období od 29. 11. 2024 do 9. 6. 2025</w:t>
            </w:r>
          </w:p>
        </w:tc>
      </w:tr>
    </w:tbl>
    <w:p w14:paraId="3246506C" w14:textId="77777777" w:rsidR="00854537" w:rsidRDefault="00854537" w:rsidP="00205B51">
      <w:pPr>
        <w:pStyle w:val="KUJKnormal"/>
        <w:rPr>
          <w:b/>
          <w:bCs/>
        </w:rPr>
      </w:pPr>
      <w:r>
        <w:rPr>
          <w:b/>
          <w:bCs/>
        </w:rPr>
        <w:pict w14:anchorId="5EBA3CA8">
          <v:rect id="_x0000_i1029" style="width:453.6pt;height:1.5pt" o:hralign="center" o:hrstd="t" o:hrnoshade="t" o:hr="t" fillcolor="black" stroked="f"/>
        </w:pict>
      </w:r>
    </w:p>
    <w:p w14:paraId="4E881C85" w14:textId="77777777" w:rsidR="00854537" w:rsidRDefault="00854537" w:rsidP="00205B51">
      <w:pPr>
        <w:pStyle w:val="KUJKnormal"/>
      </w:pPr>
    </w:p>
    <w:p w14:paraId="56BAF9A0" w14:textId="77777777" w:rsidR="00854537" w:rsidRDefault="00854537" w:rsidP="00205B51"/>
    <w:tbl>
      <w:tblPr>
        <w:tblW w:w="0" w:type="auto"/>
        <w:tblCellMar>
          <w:left w:w="70" w:type="dxa"/>
          <w:right w:w="70" w:type="dxa"/>
        </w:tblCellMar>
        <w:tblLook w:val="04A0" w:firstRow="1" w:lastRow="0" w:firstColumn="1" w:lastColumn="0" w:noHBand="0" w:noVBand="1"/>
      </w:tblPr>
      <w:tblGrid>
        <w:gridCol w:w="2350"/>
        <w:gridCol w:w="6862"/>
      </w:tblGrid>
      <w:tr w:rsidR="00854537" w14:paraId="640F254A" w14:textId="77777777" w:rsidTr="002559B8">
        <w:trPr>
          <w:trHeight w:val="397"/>
        </w:trPr>
        <w:tc>
          <w:tcPr>
            <w:tcW w:w="2350" w:type="dxa"/>
            <w:hideMark/>
          </w:tcPr>
          <w:p w14:paraId="5E074AC3" w14:textId="77777777" w:rsidR="00854537" w:rsidRDefault="00854537" w:rsidP="002559B8">
            <w:pPr>
              <w:pStyle w:val="KUJKtucny"/>
            </w:pPr>
            <w:r>
              <w:t>Předkladatel:</w:t>
            </w:r>
          </w:p>
        </w:tc>
        <w:tc>
          <w:tcPr>
            <w:tcW w:w="6862" w:type="dxa"/>
          </w:tcPr>
          <w:p w14:paraId="58CBFA4C" w14:textId="77777777" w:rsidR="00854537" w:rsidRPr="00003DA3" w:rsidRDefault="00854537" w:rsidP="00003DA3">
            <w:pPr>
              <w:pStyle w:val="KUJKnormal"/>
            </w:pPr>
            <w:r w:rsidRPr="00003DA3">
              <w:t>doc. Dr. Ing. Dagmar Škodová Parmová</w:t>
            </w:r>
          </w:p>
          <w:p w14:paraId="244E1F2F" w14:textId="77777777" w:rsidR="00854537" w:rsidRDefault="00854537" w:rsidP="002559B8"/>
        </w:tc>
      </w:tr>
      <w:tr w:rsidR="00854537" w14:paraId="640598D2" w14:textId="77777777" w:rsidTr="002559B8">
        <w:trPr>
          <w:trHeight w:val="397"/>
        </w:trPr>
        <w:tc>
          <w:tcPr>
            <w:tcW w:w="2350" w:type="dxa"/>
          </w:tcPr>
          <w:p w14:paraId="34167235" w14:textId="77777777" w:rsidR="00854537" w:rsidRDefault="00854537" w:rsidP="002559B8">
            <w:pPr>
              <w:pStyle w:val="KUJKtucny"/>
            </w:pPr>
            <w:r>
              <w:t>Zpracoval:</w:t>
            </w:r>
          </w:p>
          <w:p w14:paraId="5C282B6D" w14:textId="77777777" w:rsidR="00854537" w:rsidRDefault="00854537" w:rsidP="002559B8"/>
        </w:tc>
        <w:tc>
          <w:tcPr>
            <w:tcW w:w="6862" w:type="dxa"/>
            <w:hideMark/>
          </w:tcPr>
          <w:p w14:paraId="0C16DC14" w14:textId="77777777" w:rsidR="00854537" w:rsidRDefault="00854537" w:rsidP="002559B8">
            <w:pPr>
              <w:pStyle w:val="KUJKnormal"/>
            </w:pPr>
            <w:r>
              <w:t>KHEJ</w:t>
            </w:r>
          </w:p>
        </w:tc>
      </w:tr>
      <w:tr w:rsidR="00854537" w14:paraId="06E6E3AB" w14:textId="77777777" w:rsidTr="002559B8">
        <w:trPr>
          <w:trHeight w:val="397"/>
        </w:trPr>
        <w:tc>
          <w:tcPr>
            <w:tcW w:w="2350" w:type="dxa"/>
          </w:tcPr>
          <w:p w14:paraId="45C49AE9" w14:textId="77777777" w:rsidR="00854537" w:rsidRPr="009715F9" w:rsidRDefault="00854537" w:rsidP="002559B8">
            <w:pPr>
              <w:pStyle w:val="KUJKnormal"/>
              <w:rPr>
                <w:b/>
              </w:rPr>
            </w:pPr>
            <w:r w:rsidRPr="009715F9">
              <w:rPr>
                <w:b/>
              </w:rPr>
              <w:t>Vedoucí odboru:</w:t>
            </w:r>
          </w:p>
          <w:p w14:paraId="2277C8B1" w14:textId="77777777" w:rsidR="00854537" w:rsidRDefault="00854537" w:rsidP="002559B8"/>
        </w:tc>
        <w:tc>
          <w:tcPr>
            <w:tcW w:w="6862" w:type="dxa"/>
            <w:hideMark/>
          </w:tcPr>
          <w:p w14:paraId="685B054A" w14:textId="77777777" w:rsidR="00854537" w:rsidRDefault="00854537" w:rsidP="002559B8">
            <w:pPr>
              <w:pStyle w:val="KUJKnormal"/>
            </w:pPr>
            <w:r>
              <w:t>Mgr. Petr Podhola</w:t>
            </w:r>
          </w:p>
        </w:tc>
      </w:tr>
    </w:tbl>
    <w:p w14:paraId="62B8CD4B" w14:textId="77777777" w:rsidR="00854537" w:rsidRDefault="00854537" w:rsidP="00205B51">
      <w:pPr>
        <w:pStyle w:val="KUJKnormal"/>
      </w:pPr>
    </w:p>
    <w:p w14:paraId="66A89C99" w14:textId="77777777" w:rsidR="00854537" w:rsidRPr="0052161F" w:rsidRDefault="00854537" w:rsidP="00205B51">
      <w:pPr>
        <w:pStyle w:val="KUJKtucny"/>
      </w:pPr>
      <w:r w:rsidRPr="0052161F">
        <w:t>NÁVRH USNESENÍ</w:t>
      </w:r>
    </w:p>
    <w:p w14:paraId="6D8C7810" w14:textId="77777777" w:rsidR="00854537" w:rsidRDefault="00854537" w:rsidP="00205B51">
      <w:pPr>
        <w:pStyle w:val="KUJKnormal"/>
        <w:rPr>
          <w:rFonts w:ascii="Calibri" w:hAnsi="Calibri" w:cs="Calibri"/>
          <w:sz w:val="12"/>
          <w:szCs w:val="12"/>
        </w:rPr>
      </w:pPr>
      <w:bookmarkStart w:id="0" w:name="US_ZaVeVeci"/>
      <w:bookmarkEnd w:id="0"/>
    </w:p>
    <w:p w14:paraId="40E6FFE3" w14:textId="77777777" w:rsidR="00854537" w:rsidRPr="00841DFC" w:rsidRDefault="00854537" w:rsidP="00205B51">
      <w:pPr>
        <w:pStyle w:val="KUJKPolozka"/>
        <w:spacing w:line="240" w:lineRule="auto"/>
      </w:pPr>
      <w:r w:rsidRPr="00841DFC">
        <w:t>Zastupitelstvo Jihočeského kraje</w:t>
      </w:r>
    </w:p>
    <w:p w14:paraId="78F38DE3" w14:textId="77777777" w:rsidR="00854537" w:rsidRDefault="00854537" w:rsidP="00546F18">
      <w:pPr>
        <w:pStyle w:val="KUJKdoplnek2"/>
        <w:numPr>
          <w:ilvl w:val="0"/>
          <w:numId w:val="0"/>
        </w:numPr>
        <w:spacing w:line="240" w:lineRule="auto"/>
        <w:ind w:left="360" w:hanging="360"/>
      </w:pPr>
      <w:r w:rsidRPr="00730306">
        <w:t>bere na vědomí</w:t>
      </w:r>
    </w:p>
    <w:p w14:paraId="32974948" w14:textId="77777777" w:rsidR="00854537" w:rsidRDefault="00854537" w:rsidP="00205B51">
      <w:pPr>
        <w:pStyle w:val="KUJKnormal"/>
      </w:pPr>
      <w:r w:rsidRPr="00546F18">
        <w:t>zprávu o činnosti Výboru pro výchovu, vzdělávání a zaměstnanost Zastupitelstva Jihočeského kraje za období od 29. 11. 2024 do 9. 6. 2025.</w:t>
      </w:r>
    </w:p>
    <w:p w14:paraId="70E326E5" w14:textId="77777777" w:rsidR="00854537" w:rsidRDefault="00854537" w:rsidP="00205B51">
      <w:pPr>
        <w:pStyle w:val="KUJKnormal"/>
      </w:pPr>
    </w:p>
    <w:p w14:paraId="555813EE" w14:textId="77777777" w:rsidR="00854537" w:rsidRDefault="00854537" w:rsidP="00846A3C">
      <w:pPr>
        <w:pStyle w:val="KUJKmezeraDZ"/>
      </w:pPr>
      <w:bookmarkStart w:id="1" w:name="US_DuvodZprava"/>
      <w:bookmarkEnd w:id="1"/>
    </w:p>
    <w:p w14:paraId="2F016B4D" w14:textId="77777777" w:rsidR="00854537" w:rsidRDefault="00854537" w:rsidP="00846A3C">
      <w:pPr>
        <w:pStyle w:val="KUJKnadpisDZ"/>
      </w:pPr>
      <w:r>
        <w:t>DŮVODOVÁ ZPRÁVA</w:t>
      </w:r>
    </w:p>
    <w:p w14:paraId="647E3AA5" w14:textId="77777777" w:rsidR="00854537" w:rsidRPr="00681867" w:rsidRDefault="00854537" w:rsidP="00200C55">
      <w:pPr>
        <w:spacing w:line="240" w:lineRule="auto"/>
        <w:contextualSpacing/>
        <w:jc w:val="both"/>
        <w:rPr>
          <w:color w:val="000000"/>
          <w:szCs w:val="20"/>
        </w:rPr>
      </w:pPr>
      <w:r w:rsidRPr="00681867">
        <w:rPr>
          <w:color w:val="000000"/>
          <w:szCs w:val="20"/>
        </w:rPr>
        <w:t xml:space="preserve">Zastupitelstvo Jihočeského kraje dne 24. 10. 2024 usnesením č. 12/2024/ZK-1 zřídilo výbory zastupitelstva pro volební období 2024-2028. </w:t>
      </w:r>
    </w:p>
    <w:p w14:paraId="599CA554" w14:textId="77777777" w:rsidR="00854537" w:rsidRPr="00681867" w:rsidRDefault="00854537" w:rsidP="00200C55">
      <w:pPr>
        <w:spacing w:line="240" w:lineRule="auto"/>
        <w:contextualSpacing/>
        <w:jc w:val="both"/>
        <w:rPr>
          <w:color w:val="000000"/>
          <w:szCs w:val="20"/>
        </w:rPr>
      </w:pPr>
    </w:p>
    <w:p w14:paraId="697F7C1A" w14:textId="77777777" w:rsidR="00854537" w:rsidRPr="00681867" w:rsidRDefault="00854537" w:rsidP="00200C55">
      <w:pPr>
        <w:spacing w:line="240" w:lineRule="auto"/>
        <w:contextualSpacing/>
        <w:rPr>
          <w:color w:val="000000"/>
          <w:szCs w:val="20"/>
        </w:rPr>
      </w:pPr>
      <w:r w:rsidRPr="00681867">
        <w:rPr>
          <w:color w:val="000000"/>
          <w:szCs w:val="20"/>
        </w:rPr>
        <w:t>Výbor pro výchovu, vzdělávání a zaměstnanost Zastupitelstva Jihočeského kraje (VVVZ) - úkoly vycházejí z § 78 odst. 6 zákona č. 129/2000 Sb., o krajích, ve znění pozdějších předpisů:</w:t>
      </w:r>
    </w:p>
    <w:p w14:paraId="5AC8E38F" w14:textId="77777777" w:rsidR="00854537" w:rsidRPr="00681867" w:rsidRDefault="00854537" w:rsidP="00200C55">
      <w:pPr>
        <w:spacing w:line="240" w:lineRule="auto"/>
        <w:contextualSpacing/>
        <w:rPr>
          <w:color w:val="000000"/>
          <w:szCs w:val="20"/>
        </w:rPr>
      </w:pPr>
      <w:r w:rsidRPr="00681867">
        <w:rPr>
          <w:color w:val="000000"/>
          <w:szCs w:val="20"/>
        </w:rPr>
        <w:t>a) v návaznosti na demografický vývoj a vývoj zaměstnanosti posuzuje a vyjadřuje se k síti škol a školských zařízení, studijních a učebních oborů a k jejich změnám v působnosti kraje, </w:t>
      </w:r>
      <w:r w:rsidRPr="00681867">
        <w:rPr>
          <w:color w:val="000000"/>
          <w:szCs w:val="20"/>
        </w:rPr>
        <w:br/>
        <w:t>b) předkládá návrhy na zkvalitnění péče poskytované školami a školskými zařízeními, popřípadě předškolními zařízeními, které kraj zřizuje, </w:t>
      </w:r>
      <w:r w:rsidRPr="00681867">
        <w:rPr>
          <w:color w:val="000000"/>
          <w:szCs w:val="20"/>
        </w:rPr>
        <w:br/>
        <w:t>c) vyjadřuje se k záměrům na poskytování dotací v oblasti mládeže, tělovýchovy a sportu, </w:t>
      </w:r>
      <w:r w:rsidRPr="00681867">
        <w:rPr>
          <w:color w:val="000000"/>
          <w:szCs w:val="20"/>
        </w:rPr>
        <w:br/>
        <w:t>d) projednává zprávy o výsledcích výchovně vzdělávací činnosti škol, školských zařízení a předškolních zařízení, které kraj zřizuje, </w:t>
      </w:r>
      <w:r w:rsidRPr="00681867">
        <w:rPr>
          <w:color w:val="000000"/>
          <w:szCs w:val="20"/>
        </w:rPr>
        <w:br/>
        <w:t>e) plní další úkoly v oblasti výchovy a vzdělávání, kterými jej pověří zastupitelstvo.</w:t>
      </w:r>
    </w:p>
    <w:p w14:paraId="67CED74A" w14:textId="77777777" w:rsidR="00854537" w:rsidRPr="00681867" w:rsidRDefault="00854537" w:rsidP="00200C55">
      <w:pPr>
        <w:spacing w:line="240" w:lineRule="auto"/>
        <w:contextualSpacing/>
        <w:jc w:val="both"/>
        <w:rPr>
          <w:color w:val="000000"/>
          <w:szCs w:val="20"/>
        </w:rPr>
      </w:pPr>
    </w:p>
    <w:p w14:paraId="052612C5" w14:textId="77777777" w:rsidR="00854537" w:rsidRPr="00681867" w:rsidRDefault="00854537" w:rsidP="00200C55">
      <w:pPr>
        <w:spacing w:line="240" w:lineRule="auto"/>
        <w:contextualSpacing/>
        <w:jc w:val="both"/>
        <w:rPr>
          <w:color w:val="000000"/>
          <w:szCs w:val="20"/>
        </w:rPr>
      </w:pPr>
      <w:r w:rsidRPr="00681867">
        <w:rPr>
          <w:color w:val="000000"/>
          <w:szCs w:val="20"/>
        </w:rPr>
        <w:t xml:space="preserve">Zastupitelstvo kraje stanovilo počet členů Výboru pro výchovu, vzdělávání a zaměstnanost na 13. </w:t>
      </w:r>
    </w:p>
    <w:p w14:paraId="20AABDB9" w14:textId="77777777" w:rsidR="00854537" w:rsidRPr="00681867" w:rsidRDefault="00854537" w:rsidP="00200C55">
      <w:pPr>
        <w:spacing w:line="240" w:lineRule="auto"/>
        <w:contextualSpacing/>
        <w:jc w:val="both"/>
        <w:rPr>
          <w:color w:val="000000"/>
          <w:szCs w:val="20"/>
        </w:rPr>
      </w:pPr>
      <w:r w:rsidRPr="00681867">
        <w:rPr>
          <w:color w:val="000000"/>
          <w:szCs w:val="20"/>
        </w:rPr>
        <w:t>Složení výboru – předsedkyně: doc. Dr. Ing. Dagmar Škodová Parmová, Mgr. Antonín Sekyrka, Ing. Bc. Břetislav Kábele, Mgr. Pavel Klíma, Pavel Kouba, Mgr. Václav Mára, Ing. Martin Maršík, Ph.D., doc. PhDr. Mgr. Lubomír Pána, Ph.D., dr.h.c., Mgr. Jan Ptáčník, Mgr. Dagmar Rückerová, Mgr. Petr Stehlík, PhDr. Markéta Švadlenová, Mgr. Milena Thalerová.</w:t>
      </w:r>
    </w:p>
    <w:p w14:paraId="513D37D9" w14:textId="77777777" w:rsidR="00854537" w:rsidRPr="00681867" w:rsidRDefault="00854537" w:rsidP="00200C55">
      <w:pPr>
        <w:spacing w:line="240" w:lineRule="auto"/>
        <w:contextualSpacing/>
        <w:jc w:val="both"/>
        <w:rPr>
          <w:szCs w:val="20"/>
        </w:rPr>
      </w:pPr>
    </w:p>
    <w:p w14:paraId="34947146" w14:textId="77777777" w:rsidR="00854537" w:rsidRPr="00681867" w:rsidRDefault="00854537" w:rsidP="00200C55">
      <w:pPr>
        <w:spacing w:line="240" w:lineRule="auto"/>
        <w:contextualSpacing/>
        <w:jc w:val="both"/>
        <w:rPr>
          <w:rFonts w:cs="Arial"/>
          <w:szCs w:val="20"/>
        </w:rPr>
      </w:pPr>
      <w:r w:rsidRPr="00681867">
        <w:rPr>
          <w:szCs w:val="20"/>
        </w:rPr>
        <w:t xml:space="preserve">Výbor pro výchovu, vzdělávání a zaměstnanost </w:t>
      </w:r>
      <w:r w:rsidRPr="00681867">
        <w:rPr>
          <w:rFonts w:cs="Arial"/>
          <w:szCs w:val="20"/>
        </w:rPr>
        <w:t xml:space="preserve">podává zprávu o </w:t>
      </w:r>
      <w:r w:rsidRPr="00681867">
        <w:rPr>
          <w:rFonts w:cs="Arial"/>
          <w:color w:val="000000"/>
          <w:szCs w:val="20"/>
        </w:rPr>
        <w:t>své</w:t>
      </w:r>
      <w:r w:rsidRPr="00681867">
        <w:rPr>
          <w:rFonts w:cs="Arial"/>
          <w:szCs w:val="20"/>
        </w:rPr>
        <w:t xml:space="preserve"> činnosti za období od </w:t>
      </w:r>
      <w:r w:rsidRPr="00681867">
        <w:rPr>
          <w:szCs w:val="20"/>
        </w:rPr>
        <w:t xml:space="preserve">29. 11. 2024 do 9. 6. 2025. </w:t>
      </w:r>
      <w:r w:rsidRPr="00681867">
        <w:rPr>
          <w:rFonts w:cs="Arial"/>
          <w:szCs w:val="20"/>
        </w:rPr>
        <w:t xml:space="preserve">V uvedeném období výbor zasedal čtyřikrát </w:t>
      </w:r>
      <w:r w:rsidRPr="00681867">
        <w:rPr>
          <w:rFonts w:cs="Arial"/>
          <w:color w:val="000000"/>
          <w:szCs w:val="20"/>
        </w:rPr>
        <w:t>v termínech 29. 11. 2024, 18. 2. 2025, 2. 4. 2025 a 9. 6. 2025</w:t>
      </w:r>
      <w:r w:rsidRPr="00681867">
        <w:rPr>
          <w:rFonts w:cs="Arial"/>
          <w:szCs w:val="20"/>
        </w:rPr>
        <w:t>.  Na všech jednáních se výbor sešel v usnášeníschopném počtu.</w:t>
      </w:r>
    </w:p>
    <w:p w14:paraId="3DCA646B" w14:textId="77777777" w:rsidR="00854537" w:rsidRPr="00681867" w:rsidRDefault="00854537" w:rsidP="00200C55">
      <w:pPr>
        <w:spacing w:line="240" w:lineRule="auto"/>
        <w:contextualSpacing/>
        <w:jc w:val="both"/>
        <w:rPr>
          <w:szCs w:val="20"/>
        </w:rPr>
      </w:pPr>
    </w:p>
    <w:p w14:paraId="187B3C7B" w14:textId="77777777" w:rsidR="00854537" w:rsidRPr="00681867" w:rsidRDefault="00854537" w:rsidP="00200C55">
      <w:pPr>
        <w:spacing w:line="240" w:lineRule="auto"/>
        <w:contextualSpacing/>
        <w:jc w:val="both"/>
        <w:rPr>
          <w:rFonts w:cs="Arial"/>
          <w:color w:val="000000"/>
          <w:szCs w:val="20"/>
        </w:rPr>
      </w:pPr>
      <w:r w:rsidRPr="00681867">
        <w:rPr>
          <w:rFonts w:cs="Arial"/>
          <w:color w:val="000000"/>
          <w:szCs w:val="20"/>
        </w:rPr>
        <w:t>Činnost výboru probíhá dle plánu činnosti na rok 2025 schváleného zastupitelstvem kraje dne 27. 2. 2025 usnesením č. 67/2025/ZK-4</w:t>
      </w:r>
    </w:p>
    <w:p w14:paraId="4ACC0BD5" w14:textId="77777777" w:rsidR="00854537" w:rsidRPr="00681867" w:rsidRDefault="00854537" w:rsidP="00200C55">
      <w:pPr>
        <w:spacing w:line="240" w:lineRule="auto"/>
        <w:contextualSpacing/>
        <w:jc w:val="both"/>
        <w:rPr>
          <w:szCs w:val="20"/>
        </w:rPr>
      </w:pPr>
    </w:p>
    <w:p w14:paraId="10EEB95B" w14:textId="77777777" w:rsidR="00854537" w:rsidRPr="00681867" w:rsidRDefault="00854537" w:rsidP="00200C55">
      <w:pPr>
        <w:spacing w:line="240" w:lineRule="auto"/>
        <w:contextualSpacing/>
        <w:jc w:val="both"/>
        <w:rPr>
          <w:rFonts w:cs="Arial"/>
          <w:b/>
          <w:bCs/>
          <w:szCs w:val="20"/>
          <w:u w:val="single"/>
        </w:rPr>
      </w:pPr>
      <w:r w:rsidRPr="00681867">
        <w:rPr>
          <w:rFonts w:cs="Arial"/>
          <w:b/>
          <w:bCs/>
          <w:szCs w:val="20"/>
          <w:u w:val="single"/>
        </w:rPr>
        <w:t xml:space="preserve">Projednávané body: </w:t>
      </w:r>
    </w:p>
    <w:p w14:paraId="31499CC5" w14:textId="77777777" w:rsidR="00854537" w:rsidRPr="00681867" w:rsidRDefault="00854537" w:rsidP="00200C55">
      <w:pPr>
        <w:spacing w:line="240" w:lineRule="auto"/>
        <w:contextualSpacing/>
        <w:jc w:val="both"/>
        <w:rPr>
          <w:szCs w:val="20"/>
        </w:rPr>
      </w:pPr>
    </w:p>
    <w:p w14:paraId="700FFAB2" w14:textId="77777777" w:rsidR="00854537" w:rsidRPr="00681867" w:rsidRDefault="00854537" w:rsidP="00200C55">
      <w:pPr>
        <w:numPr>
          <w:ilvl w:val="0"/>
          <w:numId w:val="11"/>
        </w:numPr>
        <w:spacing w:line="240" w:lineRule="auto"/>
        <w:ind w:left="426"/>
        <w:contextualSpacing/>
        <w:rPr>
          <w:rFonts w:cs="Arial"/>
          <w:szCs w:val="20"/>
        </w:rPr>
      </w:pPr>
      <w:r w:rsidRPr="00681867">
        <w:rPr>
          <w:rFonts w:cs="Arial"/>
          <w:szCs w:val="20"/>
        </w:rPr>
        <w:t>Změny v rejstříku škol a školských zařízení – obor Lyceum 2.0</w:t>
      </w:r>
    </w:p>
    <w:p w14:paraId="3011634B" w14:textId="77777777" w:rsidR="00854537" w:rsidRPr="00681867" w:rsidRDefault="00854537" w:rsidP="00200C55">
      <w:pPr>
        <w:numPr>
          <w:ilvl w:val="0"/>
          <w:numId w:val="11"/>
        </w:numPr>
        <w:spacing w:line="240" w:lineRule="auto"/>
        <w:ind w:left="426"/>
        <w:contextualSpacing/>
        <w:rPr>
          <w:rFonts w:cs="Arial"/>
          <w:szCs w:val="20"/>
        </w:rPr>
      </w:pPr>
      <w:r w:rsidRPr="00681867">
        <w:rPr>
          <w:rFonts w:cs="Arial"/>
          <w:szCs w:val="20"/>
        </w:rPr>
        <w:t>Změny v rejstříku škol a školských zařízení – kapacity soukromých základních škol</w:t>
      </w:r>
    </w:p>
    <w:p w14:paraId="261B0BFD" w14:textId="77777777" w:rsidR="00854537" w:rsidRPr="00681867" w:rsidRDefault="00854537" w:rsidP="00200C55">
      <w:pPr>
        <w:numPr>
          <w:ilvl w:val="0"/>
          <w:numId w:val="11"/>
        </w:numPr>
        <w:spacing w:line="240" w:lineRule="auto"/>
        <w:ind w:left="426"/>
        <w:contextualSpacing/>
        <w:rPr>
          <w:rFonts w:cs="Arial"/>
          <w:szCs w:val="20"/>
        </w:rPr>
      </w:pPr>
      <w:r w:rsidRPr="00681867">
        <w:rPr>
          <w:rFonts w:cs="Arial"/>
          <w:szCs w:val="20"/>
        </w:rPr>
        <w:t>Rozpočet škol a školských zařízení – čtvrtá a pátá úprava rozpočtu</w:t>
      </w:r>
    </w:p>
    <w:p w14:paraId="76A7B748" w14:textId="77777777" w:rsidR="00854537" w:rsidRPr="00681867" w:rsidRDefault="00854537" w:rsidP="00200C55">
      <w:pPr>
        <w:numPr>
          <w:ilvl w:val="0"/>
          <w:numId w:val="11"/>
        </w:numPr>
        <w:spacing w:line="240" w:lineRule="auto"/>
        <w:ind w:left="426"/>
        <w:rPr>
          <w:rFonts w:cs="Arial"/>
          <w:szCs w:val="20"/>
        </w:rPr>
      </w:pPr>
      <w:bookmarkStart w:id="2" w:name="_Hlk184023939"/>
      <w:r w:rsidRPr="00681867">
        <w:rPr>
          <w:rFonts w:cs="Arial"/>
          <w:szCs w:val="20"/>
        </w:rPr>
        <w:t>Realizace projektu „Kemp v divočině pod Falkensteinem“ v rámci programu Interreg Bavorsko – Česko 2021-2027 a jeho kofinancování a předfinancování z rozpočtu kraje – Vyšší odborná škol sociální a Střední pedagogická škola, Prachatice</w:t>
      </w:r>
    </w:p>
    <w:p w14:paraId="1B2F4536" w14:textId="77777777" w:rsidR="00854537" w:rsidRPr="00681867" w:rsidRDefault="00854537" w:rsidP="00200C55">
      <w:pPr>
        <w:numPr>
          <w:ilvl w:val="0"/>
          <w:numId w:val="11"/>
        </w:numPr>
        <w:spacing w:line="240" w:lineRule="auto"/>
        <w:ind w:left="426"/>
        <w:rPr>
          <w:rFonts w:cs="Arial"/>
          <w:szCs w:val="20"/>
        </w:rPr>
      </w:pPr>
      <w:r w:rsidRPr="00681867">
        <w:rPr>
          <w:rFonts w:cs="Arial"/>
          <w:szCs w:val="20"/>
        </w:rPr>
        <w:t>Financování nepedagogických pracovníků</w:t>
      </w:r>
    </w:p>
    <w:p w14:paraId="7F7EEC6C" w14:textId="77777777" w:rsidR="00854537" w:rsidRPr="00681867" w:rsidRDefault="00854537" w:rsidP="00200C55">
      <w:pPr>
        <w:numPr>
          <w:ilvl w:val="0"/>
          <w:numId w:val="11"/>
        </w:numPr>
        <w:spacing w:line="276" w:lineRule="auto"/>
        <w:ind w:left="426"/>
        <w:contextualSpacing/>
        <w:jc w:val="both"/>
        <w:rPr>
          <w:rFonts w:cs="Arial"/>
          <w:bCs/>
          <w:szCs w:val="20"/>
        </w:rPr>
      </w:pPr>
      <w:bookmarkStart w:id="3" w:name="_Hlk190671826"/>
      <w:bookmarkEnd w:id="2"/>
      <w:r w:rsidRPr="00681867">
        <w:rPr>
          <w:rFonts w:cs="Arial"/>
          <w:bCs/>
          <w:szCs w:val="20"/>
        </w:rPr>
        <w:t>Výroční zpráva o stavu a rozvoji vzdělávací soustavy v Jihočeském kraji za školní rok 2023/2024</w:t>
      </w:r>
    </w:p>
    <w:p w14:paraId="4340FA33" w14:textId="77777777" w:rsidR="00854537" w:rsidRPr="00681867" w:rsidRDefault="00854537" w:rsidP="00200C55">
      <w:pPr>
        <w:numPr>
          <w:ilvl w:val="0"/>
          <w:numId w:val="11"/>
        </w:numPr>
        <w:spacing w:line="276" w:lineRule="auto"/>
        <w:ind w:left="426"/>
        <w:contextualSpacing/>
        <w:jc w:val="both"/>
        <w:rPr>
          <w:rFonts w:cs="Arial"/>
          <w:bCs/>
          <w:szCs w:val="20"/>
        </w:rPr>
      </w:pPr>
      <w:bookmarkStart w:id="4" w:name="_Hlk190671985"/>
      <w:bookmarkEnd w:id="3"/>
      <w:r w:rsidRPr="00681867">
        <w:rPr>
          <w:rFonts w:cs="Arial"/>
          <w:bCs/>
          <w:szCs w:val="20"/>
        </w:rPr>
        <w:t xml:space="preserve">Revokace usnesení č. 34/2024/ZK-32 ve věci Transformace dětských domovů v rámci JčK </w:t>
      </w:r>
      <w:bookmarkEnd w:id="4"/>
    </w:p>
    <w:p w14:paraId="2ECB3FE2" w14:textId="77777777" w:rsidR="00854537" w:rsidRPr="00681867" w:rsidRDefault="00854537" w:rsidP="00200C55">
      <w:pPr>
        <w:numPr>
          <w:ilvl w:val="0"/>
          <w:numId w:val="11"/>
        </w:numPr>
        <w:spacing w:line="276" w:lineRule="auto"/>
        <w:ind w:left="426"/>
        <w:contextualSpacing/>
        <w:jc w:val="both"/>
        <w:rPr>
          <w:rFonts w:cs="Arial"/>
          <w:bCs/>
          <w:szCs w:val="20"/>
        </w:rPr>
      </w:pPr>
      <w:bookmarkStart w:id="5" w:name="_Hlk190672147"/>
      <w:r w:rsidRPr="00681867">
        <w:rPr>
          <w:rFonts w:cs="Arial"/>
          <w:bCs/>
          <w:szCs w:val="20"/>
        </w:rPr>
        <w:t>Změny v rejstříku škol a školských zařízení v mimořádném termínu</w:t>
      </w:r>
    </w:p>
    <w:p w14:paraId="465E9446" w14:textId="77777777" w:rsidR="00854537" w:rsidRPr="00681867" w:rsidRDefault="00854537" w:rsidP="00200C55">
      <w:pPr>
        <w:numPr>
          <w:ilvl w:val="0"/>
          <w:numId w:val="11"/>
        </w:numPr>
        <w:spacing w:line="276" w:lineRule="auto"/>
        <w:ind w:left="426"/>
        <w:contextualSpacing/>
        <w:jc w:val="both"/>
        <w:rPr>
          <w:rFonts w:cs="Arial"/>
          <w:bCs/>
          <w:szCs w:val="20"/>
        </w:rPr>
      </w:pPr>
      <w:bookmarkStart w:id="6" w:name="_Hlk194500670"/>
      <w:bookmarkEnd w:id="5"/>
      <w:r w:rsidRPr="00681867">
        <w:rPr>
          <w:rFonts w:cs="Arial"/>
          <w:bCs/>
          <w:szCs w:val="20"/>
        </w:rPr>
        <w:t xml:space="preserve">Dodatek č. 1 ke Smlouvě o poskytnutí dotace na pořádání reprezentačních akcí v ledním hokeji v Jihočeském kraji </w:t>
      </w:r>
    </w:p>
    <w:p w14:paraId="356B0CBC" w14:textId="77777777" w:rsidR="00854537" w:rsidRPr="00681867" w:rsidRDefault="00854537" w:rsidP="00200C55">
      <w:pPr>
        <w:numPr>
          <w:ilvl w:val="0"/>
          <w:numId w:val="11"/>
        </w:numPr>
        <w:spacing w:line="276" w:lineRule="auto"/>
        <w:ind w:left="426"/>
        <w:contextualSpacing/>
        <w:jc w:val="both"/>
        <w:rPr>
          <w:rFonts w:cs="Arial"/>
          <w:bCs/>
          <w:szCs w:val="20"/>
        </w:rPr>
      </w:pPr>
      <w:bookmarkStart w:id="7" w:name="_Hlk194500707"/>
      <w:bookmarkEnd w:id="6"/>
      <w:r w:rsidRPr="00681867">
        <w:rPr>
          <w:rFonts w:cs="Arial"/>
          <w:bCs/>
          <w:szCs w:val="20"/>
        </w:rPr>
        <w:t>Rozpočet školství – Rozpis rozpočtu škol a školských zařízení na rok 2025</w:t>
      </w:r>
    </w:p>
    <w:p w14:paraId="66D450D3" w14:textId="77777777" w:rsidR="00854537" w:rsidRPr="00681867" w:rsidRDefault="00854537" w:rsidP="00200C55">
      <w:pPr>
        <w:numPr>
          <w:ilvl w:val="0"/>
          <w:numId w:val="11"/>
        </w:numPr>
        <w:spacing w:line="276" w:lineRule="auto"/>
        <w:ind w:left="426"/>
        <w:contextualSpacing/>
        <w:jc w:val="both"/>
        <w:rPr>
          <w:rFonts w:cs="Arial"/>
          <w:bCs/>
          <w:szCs w:val="20"/>
        </w:rPr>
      </w:pPr>
      <w:bookmarkStart w:id="8" w:name="_Hlk194500730"/>
      <w:bookmarkEnd w:id="7"/>
      <w:r w:rsidRPr="00681867">
        <w:rPr>
          <w:rFonts w:cs="Arial"/>
          <w:bCs/>
          <w:szCs w:val="20"/>
        </w:rPr>
        <w:t>Změny v rejstříku škol a školských zařízení v mimořádném termínu</w:t>
      </w:r>
    </w:p>
    <w:p w14:paraId="7A2DA842" w14:textId="77777777" w:rsidR="00854537" w:rsidRPr="00681867" w:rsidRDefault="00854537" w:rsidP="00200C55">
      <w:pPr>
        <w:numPr>
          <w:ilvl w:val="0"/>
          <w:numId w:val="11"/>
        </w:numPr>
        <w:spacing w:line="276" w:lineRule="auto"/>
        <w:ind w:left="426"/>
        <w:contextualSpacing/>
        <w:jc w:val="both"/>
        <w:rPr>
          <w:rFonts w:cs="Arial"/>
          <w:bCs/>
          <w:szCs w:val="20"/>
        </w:rPr>
      </w:pPr>
      <w:bookmarkStart w:id="9" w:name="_Hlk194500767"/>
      <w:bookmarkEnd w:id="8"/>
      <w:r w:rsidRPr="00681867">
        <w:rPr>
          <w:rFonts w:cs="Arial"/>
          <w:bCs/>
          <w:szCs w:val="20"/>
        </w:rPr>
        <w:t>Podání žádostí do dotačního programu Ministerstva zemědělství 129 720 Centra odborné přípravy 2024-2028</w:t>
      </w:r>
    </w:p>
    <w:bookmarkEnd w:id="9"/>
    <w:p w14:paraId="449CE49C"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Přijetí daru pro Gymnázium Třeboň</w:t>
      </w:r>
    </w:p>
    <w:p w14:paraId="51FB1F98" w14:textId="77777777" w:rsidR="00854537" w:rsidRPr="00681867" w:rsidRDefault="00854537" w:rsidP="00200C55">
      <w:pPr>
        <w:numPr>
          <w:ilvl w:val="0"/>
          <w:numId w:val="11"/>
        </w:numPr>
        <w:spacing w:line="276" w:lineRule="auto"/>
        <w:ind w:left="426"/>
        <w:contextualSpacing/>
        <w:jc w:val="both"/>
        <w:rPr>
          <w:rFonts w:cs="Arial"/>
          <w:bCs/>
          <w:szCs w:val="20"/>
        </w:rPr>
      </w:pPr>
      <w:bookmarkStart w:id="10" w:name="_Hlk200371953"/>
      <w:r w:rsidRPr="00681867">
        <w:rPr>
          <w:rFonts w:cs="Arial"/>
          <w:bCs/>
          <w:szCs w:val="20"/>
        </w:rPr>
        <w:t>Dodatky zřizovacích listin škol a školských zařízení zřizovaných krajem</w:t>
      </w:r>
    </w:p>
    <w:bookmarkEnd w:id="10"/>
    <w:p w14:paraId="29F7EBC7"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Transformace dětských domovů – změna usnesení</w:t>
      </w:r>
    </w:p>
    <w:p w14:paraId="271CF7CD"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Návratná finanční výpomoc z Fondu rozvoje školství</w:t>
      </w:r>
    </w:p>
    <w:p w14:paraId="1D5B4A64"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Změny v rejstříku škol a školských zařízení v mimořádném termínu</w:t>
      </w:r>
    </w:p>
    <w:p w14:paraId="5241ACC7"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Rozpočet školství – první úprava rozpisu rozpočtu v roce 2025</w:t>
      </w:r>
    </w:p>
    <w:p w14:paraId="3C8E2EF3"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Realizace projektu v rámci NPO-transformace DD Boršov a jeho financování z rozpočtu JčK II</w:t>
      </w:r>
    </w:p>
    <w:p w14:paraId="35AC0641"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Realizace projektu v rámci NPO-transformace DD Horní Planá a jeho financování z rozpočtu JčK II</w:t>
      </w:r>
    </w:p>
    <w:p w14:paraId="2378CD9F"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Realizace projektu „Evropské informační středisko Europe Direct“ a jeho kofinancování a předfinancování z rozpočtu Jihočeského kraje</w:t>
      </w:r>
    </w:p>
    <w:p w14:paraId="6C7516B7" w14:textId="77777777" w:rsidR="00854537" w:rsidRPr="00681867" w:rsidRDefault="00854537" w:rsidP="00200C55">
      <w:pPr>
        <w:numPr>
          <w:ilvl w:val="0"/>
          <w:numId w:val="11"/>
        </w:numPr>
        <w:spacing w:line="276" w:lineRule="auto"/>
        <w:ind w:left="426"/>
        <w:contextualSpacing/>
        <w:jc w:val="both"/>
        <w:rPr>
          <w:rFonts w:cs="Arial"/>
          <w:bCs/>
          <w:szCs w:val="20"/>
        </w:rPr>
      </w:pPr>
      <w:bookmarkStart w:id="11" w:name="_Hlk200372565"/>
      <w:r w:rsidRPr="00681867">
        <w:rPr>
          <w:rFonts w:cs="Arial"/>
          <w:bCs/>
          <w:szCs w:val="20"/>
        </w:rPr>
        <w:t>Změna usn. č. 96/2024/ZK-33 ze dne 25. 4. 2024 ve věci realizace projektu předkládaného do IROP a jeho kofinancování, předfinancování a financování nezpůsobilých výdajů z rozpočtu JčK – PPP, Č. Budějovice</w:t>
      </w:r>
    </w:p>
    <w:bookmarkEnd w:id="11"/>
    <w:p w14:paraId="62F54F08"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Změna usnesení č. 198/2022/ZK-18 ve věci Realizace projektu předkládaného do OPŽP a jeho kofinancování, předfinancování a financování nezpůsobilých výdajů z rozpočtu Jihočeského kraje – Gymnázium, Č. Krumlov</w:t>
      </w:r>
    </w:p>
    <w:p w14:paraId="77E5DD1D"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Změna usnesení č. 431/2023/ZK-31 ve věci Realizace projektu v rámci podpory rozvoje venkova Strategického plánu SZP na období 2023–2027, jeho kofinancování, předfinancování a financování nezpůsobilých výdajů z rozpočtu Jihočeského kraje – SZeŠ, Písek</w:t>
      </w:r>
    </w:p>
    <w:p w14:paraId="4860A15D" w14:textId="77777777" w:rsidR="00854537" w:rsidRPr="00681867" w:rsidRDefault="00854537" w:rsidP="00200C55">
      <w:pPr>
        <w:numPr>
          <w:ilvl w:val="0"/>
          <w:numId w:val="11"/>
        </w:numPr>
        <w:spacing w:line="276" w:lineRule="auto"/>
        <w:ind w:left="426"/>
        <w:contextualSpacing/>
        <w:jc w:val="both"/>
        <w:rPr>
          <w:rFonts w:cs="Arial"/>
          <w:bCs/>
          <w:szCs w:val="20"/>
        </w:rPr>
      </w:pPr>
      <w:bookmarkStart w:id="12" w:name="_Hlk200372715"/>
      <w:r w:rsidRPr="00681867">
        <w:rPr>
          <w:rFonts w:cs="Arial"/>
          <w:bCs/>
          <w:szCs w:val="20"/>
        </w:rPr>
        <w:t>Revokace usn. č. 204/2022/ZK-18 ve věci realizace projektu předkládaného do IROP a jeho kofinancování a předfinancování výdajů z rozpočtu Jihočeského kraje – DDM, České Budějovice</w:t>
      </w:r>
    </w:p>
    <w:bookmarkEnd w:id="12"/>
    <w:p w14:paraId="3E1B4221"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292/2023/ZK-28 ve věci realizace projektu předkládaného do IROP a jeho kofinancování a předfinancování výdajů z rozpočtu Jihočeského kraje – DDM, České Budějovice – Přední Výtoň</w:t>
      </w:r>
    </w:p>
    <w:p w14:paraId="36C4C18F"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294/2023/ZK-28 ve věci realizace projektu předkládaného do IROP a jeho kofinancování a předfinancování výdajů z rozpočtu Jihočeského kraje – DDM, J. Hradec</w:t>
      </w:r>
    </w:p>
    <w:p w14:paraId="35424F0F"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430/2023/ZK-31 ve věci Realizace projektu předkládaného do OPŽP a jeho kofinancování a financování nezpůsobilých výdajů z rozpočtu Jihočeského kraje – DDM, Český Krumlov – Zátoň</w:t>
      </w:r>
    </w:p>
    <w:p w14:paraId="4BDFD08F"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112/2024/ZK-33 ve věci Realizace projektu předkládaného do OPŽP a jeho kofinancování z rozpočtu JčK-VOŠ a SLŠ Písek, DM</w:t>
      </w:r>
    </w:p>
    <w:p w14:paraId="6450DD2E"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109/2024/ZK-33 ve věci Realizace projektu předkládaného do OPŽP a jeho kofinancování z rozpočtu JčK – VOŠ a SZeŠ Tábor, DM</w:t>
      </w:r>
    </w:p>
    <w:p w14:paraId="0D4228BF"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134/2023/ZK-26 ve věci Revokace usn. č. 357/2022/ZK-22 ze dne 10. 11. 2022 ve věci realizace projektu předkládaného do OPŽP a jeho kofinancování a financování nezpůsobilých výdajů z rozpočtu Jihočeského kraje – SŠ a ZŠ, Vimperk</w:t>
      </w:r>
    </w:p>
    <w:p w14:paraId="3E21E49B"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200/2024/ZK-34 ve věci Revokace usn. č. 135/2023/ZK-26 ve věci realizace projektu předkládaného do OPŽP a jeho kofinancování z rozpočtu Jihočeského kraje – SOŠE, Velešín</w:t>
      </w:r>
    </w:p>
    <w:p w14:paraId="354BD125" w14:textId="77777777" w:rsidR="00854537" w:rsidRPr="00681867" w:rsidRDefault="00854537" w:rsidP="00200C55">
      <w:pPr>
        <w:numPr>
          <w:ilvl w:val="0"/>
          <w:numId w:val="11"/>
        </w:numPr>
        <w:spacing w:line="276" w:lineRule="auto"/>
        <w:ind w:left="426"/>
        <w:contextualSpacing/>
        <w:jc w:val="both"/>
        <w:rPr>
          <w:rFonts w:cs="Arial"/>
          <w:bCs/>
          <w:szCs w:val="20"/>
        </w:rPr>
      </w:pPr>
      <w:r w:rsidRPr="00681867">
        <w:rPr>
          <w:rFonts w:cs="Arial"/>
          <w:bCs/>
          <w:szCs w:val="20"/>
        </w:rPr>
        <w:t>Revokace usn. č. 106/2024/ZK-33 ve věci Realizace projektu předkládaného do OPŽP a jeho kofinancování a financování nezpůsobilých výdajů z rozpočtu JčK – VOŠ a SPŠ Volyně, ŠJ</w:t>
      </w:r>
    </w:p>
    <w:p w14:paraId="38A3532E" w14:textId="77777777" w:rsidR="00854537" w:rsidRPr="00681867" w:rsidRDefault="00854537" w:rsidP="00200C55">
      <w:pPr>
        <w:numPr>
          <w:ilvl w:val="0"/>
          <w:numId w:val="11"/>
        </w:numPr>
        <w:spacing w:line="276" w:lineRule="auto"/>
        <w:ind w:left="426"/>
        <w:contextualSpacing/>
        <w:jc w:val="both"/>
        <w:rPr>
          <w:rFonts w:cs="Arial"/>
          <w:bCs/>
          <w:szCs w:val="20"/>
        </w:rPr>
      </w:pPr>
      <w:bookmarkStart w:id="13" w:name="_Hlk200373064"/>
      <w:r w:rsidRPr="00681867">
        <w:rPr>
          <w:rFonts w:cs="Arial"/>
          <w:bCs/>
          <w:szCs w:val="20"/>
        </w:rPr>
        <w:t>Žádost o prodloužení Memoranda o spolupráci při rozvoji regionální fotbalové akademie</w:t>
      </w:r>
    </w:p>
    <w:bookmarkEnd w:id="13"/>
    <w:p w14:paraId="6CBAE446" w14:textId="77777777" w:rsidR="00854537" w:rsidRPr="00681867" w:rsidRDefault="00854537" w:rsidP="00200C55">
      <w:pPr>
        <w:spacing w:line="276" w:lineRule="auto"/>
        <w:contextualSpacing/>
        <w:jc w:val="both"/>
        <w:rPr>
          <w:rFonts w:cs="Arial"/>
          <w:bCs/>
          <w:szCs w:val="20"/>
        </w:rPr>
      </w:pPr>
    </w:p>
    <w:p w14:paraId="58D44618" w14:textId="77777777" w:rsidR="00854537" w:rsidRPr="00681867" w:rsidRDefault="00854537" w:rsidP="00200C55">
      <w:pPr>
        <w:spacing w:line="240" w:lineRule="auto"/>
        <w:contextualSpacing/>
        <w:jc w:val="both"/>
        <w:rPr>
          <w:szCs w:val="20"/>
        </w:rPr>
      </w:pPr>
    </w:p>
    <w:p w14:paraId="6291D983" w14:textId="77777777" w:rsidR="00854537" w:rsidRPr="00681867" w:rsidRDefault="00854537" w:rsidP="00200C55">
      <w:pPr>
        <w:spacing w:line="240" w:lineRule="auto"/>
        <w:contextualSpacing/>
        <w:jc w:val="both"/>
        <w:rPr>
          <w:color w:val="000000"/>
          <w:szCs w:val="20"/>
        </w:rPr>
      </w:pPr>
      <w:r w:rsidRPr="00681867">
        <w:rPr>
          <w:color w:val="000000"/>
          <w:szCs w:val="20"/>
        </w:rPr>
        <w:t xml:space="preserve">Závěry z činnosti výboru – přijatá usnesení jsou souhrnně uvedena v příloze č. 1 tohoto materiálu. Informace o průběhu projednávání jsou obsaženy v zápisech z jednání VVVZ, které jsou k dispozici na intranetu krajského úřadu a webových stránkách kraje. Tajemnicí výboru je Ing. Šárka Dupalová. </w:t>
      </w:r>
    </w:p>
    <w:p w14:paraId="10526BC8" w14:textId="77777777" w:rsidR="00854537" w:rsidRPr="00681867" w:rsidRDefault="00854537" w:rsidP="00200C55">
      <w:pPr>
        <w:spacing w:line="240" w:lineRule="auto"/>
        <w:contextualSpacing/>
        <w:jc w:val="both"/>
        <w:rPr>
          <w:szCs w:val="20"/>
        </w:rPr>
      </w:pPr>
    </w:p>
    <w:p w14:paraId="44FD8E6E" w14:textId="77777777" w:rsidR="00854537" w:rsidRPr="00681867" w:rsidRDefault="00854537" w:rsidP="00205B51">
      <w:pPr>
        <w:pStyle w:val="KUJKnormal"/>
        <w:rPr>
          <w:szCs w:val="20"/>
        </w:rPr>
      </w:pPr>
    </w:p>
    <w:p w14:paraId="4E4DE355" w14:textId="77777777" w:rsidR="00854537" w:rsidRPr="00681867" w:rsidRDefault="00854537" w:rsidP="00205B51">
      <w:pPr>
        <w:pStyle w:val="KUJKnormal"/>
        <w:rPr>
          <w:szCs w:val="20"/>
        </w:rPr>
      </w:pPr>
    </w:p>
    <w:p w14:paraId="1D1717C3" w14:textId="77777777" w:rsidR="00854537" w:rsidRPr="00681867" w:rsidRDefault="00854537" w:rsidP="00546F18">
      <w:pPr>
        <w:pStyle w:val="KUJKnormal"/>
        <w:rPr>
          <w:szCs w:val="20"/>
        </w:rPr>
      </w:pPr>
      <w:r w:rsidRPr="00681867">
        <w:rPr>
          <w:szCs w:val="20"/>
        </w:rPr>
        <w:t>Finanční nároky a krytí: nemá nároky na rozpočet kraje</w:t>
      </w:r>
    </w:p>
    <w:p w14:paraId="19F74C30" w14:textId="77777777" w:rsidR="00854537" w:rsidRPr="00681867" w:rsidRDefault="00854537" w:rsidP="00205B51">
      <w:pPr>
        <w:pStyle w:val="KUJKnormal"/>
        <w:rPr>
          <w:szCs w:val="20"/>
        </w:rPr>
      </w:pPr>
    </w:p>
    <w:p w14:paraId="3F3297B1" w14:textId="77777777" w:rsidR="00854537" w:rsidRPr="00681867" w:rsidRDefault="00854537" w:rsidP="00205B51">
      <w:pPr>
        <w:pStyle w:val="KUJKnormal"/>
        <w:rPr>
          <w:szCs w:val="20"/>
        </w:rPr>
      </w:pPr>
    </w:p>
    <w:p w14:paraId="12F23B5E" w14:textId="77777777" w:rsidR="00854537" w:rsidRPr="00681867" w:rsidRDefault="00854537" w:rsidP="00546F18">
      <w:pPr>
        <w:pStyle w:val="KUJKnormal"/>
        <w:rPr>
          <w:szCs w:val="20"/>
        </w:rPr>
      </w:pPr>
      <w:r w:rsidRPr="00681867">
        <w:rPr>
          <w:szCs w:val="20"/>
        </w:rPr>
        <w:t>Vyjádření správce rozpočtu: nebylo vyžádáno</w:t>
      </w:r>
    </w:p>
    <w:p w14:paraId="71DC455C" w14:textId="77777777" w:rsidR="00854537" w:rsidRPr="00681867" w:rsidRDefault="00854537" w:rsidP="00205B51">
      <w:pPr>
        <w:pStyle w:val="KUJKnormal"/>
        <w:rPr>
          <w:szCs w:val="20"/>
        </w:rPr>
      </w:pPr>
    </w:p>
    <w:p w14:paraId="2A5DCDD0" w14:textId="77777777" w:rsidR="00854537" w:rsidRPr="00681867" w:rsidRDefault="00854537" w:rsidP="00205B51">
      <w:pPr>
        <w:pStyle w:val="KUJKnormal"/>
        <w:rPr>
          <w:szCs w:val="20"/>
        </w:rPr>
      </w:pPr>
    </w:p>
    <w:p w14:paraId="6BAD73E9" w14:textId="77777777" w:rsidR="00854537" w:rsidRPr="00681867" w:rsidRDefault="00854537" w:rsidP="00546F18">
      <w:pPr>
        <w:pStyle w:val="KUJKnormal"/>
        <w:rPr>
          <w:szCs w:val="20"/>
        </w:rPr>
      </w:pPr>
      <w:r w:rsidRPr="00681867">
        <w:rPr>
          <w:szCs w:val="20"/>
        </w:rPr>
        <w:t>Návrh projednán (stanoviska): projednáno na jednání Výboru pro výchovu, vzdělávání a zaměstnanost dne 9. 6. 2025.</w:t>
      </w:r>
    </w:p>
    <w:p w14:paraId="78449931" w14:textId="77777777" w:rsidR="00854537" w:rsidRPr="00681867" w:rsidRDefault="00854537" w:rsidP="00205B51">
      <w:pPr>
        <w:pStyle w:val="KUJKnormal"/>
        <w:rPr>
          <w:szCs w:val="20"/>
        </w:rPr>
      </w:pPr>
    </w:p>
    <w:p w14:paraId="7AB5EE33" w14:textId="77777777" w:rsidR="00854537" w:rsidRPr="00681867" w:rsidRDefault="00854537" w:rsidP="00205B51">
      <w:pPr>
        <w:pStyle w:val="KUJKnormal"/>
        <w:rPr>
          <w:szCs w:val="20"/>
        </w:rPr>
      </w:pPr>
    </w:p>
    <w:p w14:paraId="30800F0B" w14:textId="77777777" w:rsidR="00854537" w:rsidRPr="00681867" w:rsidRDefault="00854537" w:rsidP="00205B51">
      <w:pPr>
        <w:pStyle w:val="KUJKnormal"/>
        <w:rPr>
          <w:szCs w:val="20"/>
        </w:rPr>
      </w:pPr>
    </w:p>
    <w:p w14:paraId="3BCDDDDB" w14:textId="77777777" w:rsidR="00854537" w:rsidRPr="00681867" w:rsidRDefault="00854537" w:rsidP="00205B51">
      <w:pPr>
        <w:pStyle w:val="KUJKtucny"/>
        <w:rPr>
          <w:szCs w:val="20"/>
        </w:rPr>
      </w:pPr>
      <w:r w:rsidRPr="00681867">
        <w:rPr>
          <w:szCs w:val="20"/>
        </w:rPr>
        <w:t>PŘÍLOHY:</w:t>
      </w:r>
    </w:p>
    <w:p w14:paraId="63C4F1A0" w14:textId="77777777" w:rsidR="00854537" w:rsidRPr="00B52AA9" w:rsidRDefault="00854537" w:rsidP="00681867">
      <w:pPr>
        <w:pStyle w:val="KUJKcislovany"/>
        <w:spacing w:line="240" w:lineRule="auto"/>
      </w:pPr>
      <w:r>
        <w:t>Přehled přijatých usnesení VVVZ</w:t>
      </w:r>
      <w:r w:rsidRPr="0081756D">
        <w:t xml:space="preserve"> (</w:t>
      </w:r>
      <w:r>
        <w:t>Usnesení.doc</w:t>
      </w:r>
      <w:r w:rsidRPr="0081756D">
        <w:t>)</w:t>
      </w:r>
    </w:p>
    <w:p w14:paraId="15766384" w14:textId="77777777" w:rsidR="00854537" w:rsidRPr="00B52AA9" w:rsidRDefault="00854537" w:rsidP="00681867">
      <w:pPr>
        <w:pStyle w:val="KUJKcislovany"/>
        <w:spacing w:line="240" w:lineRule="auto"/>
      </w:pPr>
      <w:r>
        <w:t>Přehled účasti členů Výboru pro výchovu, vzdělávání a zaměstnanost</w:t>
      </w:r>
      <w:r w:rsidRPr="0081756D">
        <w:t xml:space="preserve"> (</w:t>
      </w:r>
      <w:r>
        <w:t>Účast.docx</w:t>
      </w:r>
      <w:r w:rsidRPr="0081756D">
        <w:t>)</w:t>
      </w:r>
    </w:p>
    <w:p w14:paraId="79D47101" w14:textId="77777777" w:rsidR="00854537" w:rsidRPr="00681867" w:rsidRDefault="00854537" w:rsidP="00200C55">
      <w:pPr>
        <w:pStyle w:val="KUJKnormal"/>
        <w:rPr>
          <w:szCs w:val="20"/>
        </w:rPr>
      </w:pPr>
    </w:p>
    <w:p w14:paraId="66001A17" w14:textId="77777777" w:rsidR="00854537" w:rsidRPr="00681867" w:rsidRDefault="00854537" w:rsidP="00205B51">
      <w:pPr>
        <w:pStyle w:val="KUJKnormal"/>
        <w:rPr>
          <w:szCs w:val="20"/>
        </w:rPr>
      </w:pPr>
    </w:p>
    <w:p w14:paraId="2CF5BF65" w14:textId="77777777" w:rsidR="00854537" w:rsidRPr="00681867" w:rsidRDefault="00854537" w:rsidP="00205B51">
      <w:pPr>
        <w:pStyle w:val="KUJKnormal"/>
        <w:rPr>
          <w:szCs w:val="20"/>
        </w:rPr>
      </w:pPr>
    </w:p>
    <w:p w14:paraId="6ABC53C4" w14:textId="77777777" w:rsidR="00854537" w:rsidRPr="00681867" w:rsidRDefault="00854537" w:rsidP="00200C55">
      <w:pPr>
        <w:pStyle w:val="KUJKtucny"/>
        <w:rPr>
          <w:b w:val="0"/>
          <w:szCs w:val="20"/>
        </w:rPr>
      </w:pPr>
      <w:r w:rsidRPr="00681867">
        <w:rPr>
          <w:szCs w:val="20"/>
        </w:rPr>
        <w:t xml:space="preserve">Zodpovídá: </w:t>
      </w:r>
      <w:r w:rsidRPr="00681867">
        <w:rPr>
          <w:b w:val="0"/>
          <w:szCs w:val="20"/>
        </w:rPr>
        <w:t xml:space="preserve">předsedkyně výboru – doc. Dr. Ing. Dagmar Škodová Parmová, vedoucí KHEJ – Mgr. Petr </w:t>
      </w:r>
    </w:p>
    <w:p w14:paraId="55E66A62" w14:textId="77777777" w:rsidR="00854537" w:rsidRPr="00681867" w:rsidRDefault="00854537" w:rsidP="00200C55">
      <w:pPr>
        <w:spacing w:line="240" w:lineRule="auto"/>
        <w:contextualSpacing/>
        <w:jc w:val="both"/>
        <w:rPr>
          <w:szCs w:val="20"/>
        </w:rPr>
      </w:pPr>
      <w:r w:rsidRPr="00681867">
        <w:rPr>
          <w:szCs w:val="20"/>
        </w:rPr>
        <w:t>Podhola</w:t>
      </w:r>
    </w:p>
    <w:p w14:paraId="038C05D3" w14:textId="77777777" w:rsidR="00854537" w:rsidRPr="00681867" w:rsidRDefault="00854537" w:rsidP="00205B51">
      <w:pPr>
        <w:pStyle w:val="KUJKtucny"/>
        <w:rPr>
          <w:szCs w:val="20"/>
        </w:rPr>
      </w:pPr>
    </w:p>
    <w:p w14:paraId="2DC8296C" w14:textId="77777777" w:rsidR="00854537" w:rsidRPr="00681867" w:rsidRDefault="00854537" w:rsidP="00205B51">
      <w:pPr>
        <w:pStyle w:val="KUJKnormal"/>
        <w:rPr>
          <w:szCs w:val="20"/>
        </w:rPr>
      </w:pPr>
    </w:p>
    <w:p w14:paraId="72E9EFCB" w14:textId="77777777" w:rsidR="00854537" w:rsidRPr="00681867" w:rsidRDefault="00854537" w:rsidP="00205B51">
      <w:pPr>
        <w:pStyle w:val="KUJKnormal"/>
        <w:rPr>
          <w:szCs w:val="20"/>
        </w:rPr>
      </w:pPr>
      <w:r w:rsidRPr="00681867">
        <w:rPr>
          <w:szCs w:val="20"/>
        </w:rPr>
        <w:t>Termín splnění: 18. 9. 2025</w:t>
      </w:r>
    </w:p>
    <w:p w14:paraId="13A13D9A" w14:textId="77777777" w:rsidR="00854537" w:rsidRPr="00681867" w:rsidRDefault="00854537"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704E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704E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r w:rsidRPr="00A25ED0">
                  <w:rPr>
                    <w:color w:val="808180"/>
                    <w:sz w:val="16"/>
                    <w:szCs w:val="16"/>
                  </w:rPr>
                  <w:t>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3031" w14:textId="77777777" w:rsidR="00854537" w:rsidRDefault="00854537" w:rsidP="00854537">
    <w:r>
      <w:rPr>
        <w:noProof/>
      </w:rPr>
      <w:pict w14:anchorId="4D505AD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0701061" w14:textId="77777777" w:rsidR="00854537" w:rsidRPr="00D405BE" w:rsidRDefault="00854537" w:rsidP="00854537">
                <w:pPr>
                  <w:spacing w:after="60"/>
                  <w:rPr>
                    <w:rFonts w:cs="Arial"/>
                    <w:b/>
                    <w:sz w:val="22"/>
                  </w:rPr>
                </w:pPr>
                <w:r w:rsidRPr="00D405BE">
                  <w:rPr>
                    <w:rFonts w:cs="Arial"/>
                    <w:b/>
                    <w:sz w:val="22"/>
                  </w:rPr>
                  <w:t>ZASTUPITELSTVO JIHOČESKÉHO KRAJE</w:t>
                </w:r>
              </w:p>
              <w:p w14:paraId="46313EFE" w14:textId="77777777" w:rsidR="00854537" w:rsidRPr="00D405BE" w:rsidRDefault="00854537" w:rsidP="00854537">
                <w:pPr>
                  <w:spacing w:after="60"/>
                  <w:rPr>
                    <w:rFonts w:cs="Arial"/>
                    <w:sz w:val="22"/>
                  </w:rPr>
                </w:pPr>
                <w:r w:rsidRPr="00D405BE">
                  <w:rPr>
                    <w:rFonts w:cs="Arial"/>
                    <w:sz w:val="22"/>
                  </w:rPr>
                  <w:t>NÁVRH USNESENÍ</w:t>
                </w:r>
              </w:p>
            </w:txbxContent>
          </v:textbox>
        </v:shape>
      </w:pict>
    </w:r>
    <w:r>
      <w:rPr>
        <w:noProof/>
      </w:rPr>
    </w:r>
    <w:r>
      <w:pict w14:anchorId="6CF196F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B3A8E41">
        <v:rect id="_x0000_i1026" style="width:481.9pt;height:2pt" o:hralign="center" o:hrstd="t" o:hrnoshade="t" o:hr="t" fillcolor="black" stroked="f"/>
      </w:pict>
    </w:r>
  </w:p>
  <w:p w14:paraId="4EB65527" w14:textId="77777777" w:rsidR="00854537" w:rsidRPr="00854537" w:rsidRDefault="00854537" w:rsidP="008545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A6F0245"/>
    <w:multiLevelType w:val="hybridMultilevel"/>
    <w:tmpl w:val="927AB8F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1304968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E6DD8"/>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4537"/>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06A"/>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6245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2025-09-19T10:17:00Z</dcterms:created>
  <dcterms:modified xsi:type="dcterms:W3CDTF">2025-09-19T10:17:00Z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6868705</vt:i4>
  </property>
  <property fmtid="{D5CDD505-2E9C-101B-9397-08002B2CF9AE}" pid="5" name="UlozitJako">
    <vt:lpwstr>C:\Users\mrazkova\AppData\Local\Temp\iU77015320\Zastupitelstvo\2025-09-18\Navrhy\242-ZK-25.</vt:lpwstr>
  </property>
  <property fmtid="{D5CDD505-2E9C-101B-9397-08002B2CF9AE}" pid="6" name="Zpracovat">
    <vt:bool>false</vt:bool>
  </property>
</Properties>
</file>