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5AAA" w14:paraId="08CD6265" w14:textId="77777777" w:rsidTr="00122B56">
        <w:trPr>
          <w:trHeight w:hRule="exact" w:val="397"/>
        </w:trPr>
        <w:tc>
          <w:tcPr>
            <w:tcW w:w="2376" w:type="dxa"/>
            <w:hideMark/>
          </w:tcPr>
          <w:p w14:paraId="63994D03" w14:textId="77777777" w:rsidR="00F65AAA" w:rsidRDefault="00F65AA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2C4F39" w14:textId="77777777" w:rsidR="00F65AAA" w:rsidRDefault="00F65AAA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3DE7FD19" w14:textId="77777777" w:rsidR="00F65AAA" w:rsidRDefault="00F65AAA" w:rsidP="00970720">
            <w:pPr>
              <w:pStyle w:val="KUJKtucny"/>
            </w:pPr>
            <w:r>
              <w:t xml:space="preserve">Bod programu: </w:t>
            </w:r>
            <w:r w:rsidRPr="00B470D6"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07E57530" w14:textId="77777777" w:rsidR="00F65AAA" w:rsidRDefault="00F65AAA" w:rsidP="00970720">
            <w:pPr>
              <w:pStyle w:val="KUJKnormal"/>
            </w:pPr>
          </w:p>
        </w:tc>
      </w:tr>
      <w:tr w:rsidR="00F65AAA" w14:paraId="56AA4FA4" w14:textId="77777777" w:rsidTr="00122B56">
        <w:trPr>
          <w:cantSplit/>
          <w:trHeight w:hRule="exact" w:val="397"/>
        </w:trPr>
        <w:tc>
          <w:tcPr>
            <w:tcW w:w="2376" w:type="dxa"/>
            <w:hideMark/>
          </w:tcPr>
          <w:p w14:paraId="4A4479C2" w14:textId="77777777" w:rsidR="00F65AAA" w:rsidRDefault="00F65AA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FFE2BD" w14:textId="77777777" w:rsidR="00F65AAA" w:rsidRDefault="00F65AAA" w:rsidP="00970720">
            <w:pPr>
              <w:pStyle w:val="KUJKnormal"/>
            </w:pPr>
            <w:r>
              <w:t>176/ZK/25</w:t>
            </w:r>
          </w:p>
        </w:tc>
      </w:tr>
      <w:tr w:rsidR="00F65AAA" w14:paraId="10811C18" w14:textId="77777777" w:rsidTr="00122B56">
        <w:trPr>
          <w:trHeight w:val="397"/>
        </w:trPr>
        <w:tc>
          <w:tcPr>
            <w:tcW w:w="2376" w:type="dxa"/>
          </w:tcPr>
          <w:p w14:paraId="5EBE1E64" w14:textId="77777777" w:rsidR="00F65AAA" w:rsidRDefault="00F65AAA" w:rsidP="00970720"/>
          <w:p w14:paraId="3EA0DE09" w14:textId="77777777" w:rsidR="00F65AAA" w:rsidRDefault="00F65AA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72D4D7" w14:textId="77777777" w:rsidR="00F65AAA" w:rsidRDefault="00F65AAA" w:rsidP="00970720"/>
          <w:p w14:paraId="1C5C0038" w14:textId="77777777" w:rsidR="00F65AAA" w:rsidRDefault="00F65AA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Transformace dětských domovů – změna usnesení</w:t>
            </w:r>
          </w:p>
        </w:tc>
      </w:tr>
    </w:tbl>
    <w:p w14:paraId="441F7D97" w14:textId="77777777" w:rsidR="00F65AAA" w:rsidRDefault="00F65AAA" w:rsidP="00122B56">
      <w:pPr>
        <w:pStyle w:val="KUJKnormal"/>
        <w:rPr>
          <w:b/>
          <w:bCs/>
        </w:rPr>
      </w:pPr>
      <w:r>
        <w:rPr>
          <w:b/>
          <w:bCs/>
        </w:rPr>
        <w:pict w14:anchorId="2CAF7E9E">
          <v:rect id="_x0000_i1029" style="width:453.6pt;height:1.5pt" o:hralign="center" o:hrstd="t" o:hrnoshade="t" o:hr="t" fillcolor="black" stroked="f"/>
        </w:pict>
      </w:r>
    </w:p>
    <w:p w14:paraId="0721DE87" w14:textId="77777777" w:rsidR="00F65AAA" w:rsidRDefault="00F65AAA" w:rsidP="00122B56">
      <w:pPr>
        <w:pStyle w:val="KUJKnormal"/>
      </w:pPr>
    </w:p>
    <w:p w14:paraId="39629E43" w14:textId="77777777" w:rsidR="00F65AAA" w:rsidRDefault="00F65AAA" w:rsidP="00122B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5AAA" w14:paraId="4C5E7040" w14:textId="77777777" w:rsidTr="002559B8">
        <w:trPr>
          <w:trHeight w:val="397"/>
        </w:trPr>
        <w:tc>
          <w:tcPr>
            <w:tcW w:w="2350" w:type="dxa"/>
            <w:hideMark/>
          </w:tcPr>
          <w:p w14:paraId="175E332E" w14:textId="77777777" w:rsidR="00F65AAA" w:rsidRDefault="00F65AA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DE2017" w14:textId="77777777" w:rsidR="00F65AAA" w:rsidRDefault="00F65AAA" w:rsidP="002559B8">
            <w:pPr>
              <w:pStyle w:val="KUJKnormal"/>
            </w:pPr>
            <w:r>
              <w:t>Ing. David Štojdl</w:t>
            </w:r>
          </w:p>
          <w:p w14:paraId="4B81C48F" w14:textId="77777777" w:rsidR="00F65AAA" w:rsidRDefault="00F65AAA" w:rsidP="002559B8"/>
        </w:tc>
      </w:tr>
      <w:tr w:rsidR="00F65AAA" w14:paraId="4EC415C9" w14:textId="77777777" w:rsidTr="002559B8">
        <w:trPr>
          <w:trHeight w:val="397"/>
        </w:trPr>
        <w:tc>
          <w:tcPr>
            <w:tcW w:w="2350" w:type="dxa"/>
          </w:tcPr>
          <w:p w14:paraId="5E0519F8" w14:textId="77777777" w:rsidR="00F65AAA" w:rsidRDefault="00F65AAA" w:rsidP="002559B8">
            <w:pPr>
              <w:pStyle w:val="KUJKtucny"/>
            </w:pPr>
            <w:r>
              <w:t>Zpracoval:</w:t>
            </w:r>
          </w:p>
          <w:p w14:paraId="04C22D51" w14:textId="77777777" w:rsidR="00F65AAA" w:rsidRDefault="00F65AAA" w:rsidP="002559B8"/>
        </w:tc>
        <w:tc>
          <w:tcPr>
            <w:tcW w:w="6862" w:type="dxa"/>
            <w:hideMark/>
          </w:tcPr>
          <w:p w14:paraId="28513752" w14:textId="77777777" w:rsidR="00F65AAA" w:rsidRDefault="00F65AAA" w:rsidP="002559B8">
            <w:pPr>
              <w:pStyle w:val="KUJKnormal"/>
            </w:pPr>
            <w:r>
              <w:t>OSMT</w:t>
            </w:r>
          </w:p>
        </w:tc>
      </w:tr>
      <w:tr w:rsidR="00F65AAA" w14:paraId="0540D19A" w14:textId="77777777" w:rsidTr="002559B8">
        <w:trPr>
          <w:trHeight w:val="397"/>
        </w:trPr>
        <w:tc>
          <w:tcPr>
            <w:tcW w:w="2350" w:type="dxa"/>
          </w:tcPr>
          <w:p w14:paraId="5384A76B" w14:textId="77777777" w:rsidR="00F65AAA" w:rsidRPr="009715F9" w:rsidRDefault="00F65AA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17A730" w14:textId="77777777" w:rsidR="00F65AAA" w:rsidRDefault="00F65AAA" w:rsidP="002559B8"/>
        </w:tc>
        <w:tc>
          <w:tcPr>
            <w:tcW w:w="6862" w:type="dxa"/>
            <w:hideMark/>
          </w:tcPr>
          <w:p w14:paraId="5D75A4D1" w14:textId="77777777" w:rsidR="00F65AAA" w:rsidRDefault="00F65AAA" w:rsidP="002559B8">
            <w:pPr>
              <w:pStyle w:val="KUJKnormal"/>
            </w:pPr>
            <w:r>
              <w:t>Ing. Hana Šímová</w:t>
            </w:r>
          </w:p>
        </w:tc>
      </w:tr>
    </w:tbl>
    <w:p w14:paraId="22B5B519" w14:textId="77777777" w:rsidR="00F65AAA" w:rsidRDefault="00F65AAA" w:rsidP="00122B56">
      <w:pPr>
        <w:pStyle w:val="KUJKnormal"/>
      </w:pPr>
    </w:p>
    <w:p w14:paraId="2FF143BE" w14:textId="77777777" w:rsidR="00F65AAA" w:rsidRPr="0052161F" w:rsidRDefault="00F65AAA" w:rsidP="00122B56">
      <w:pPr>
        <w:pStyle w:val="KUJKtucny"/>
      </w:pPr>
      <w:r w:rsidRPr="0052161F">
        <w:t>NÁVRH USNESENÍ</w:t>
      </w:r>
    </w:p>
    <w:p w14:paraId="55C0AAB0" w14:textId="77777777" w:rsidR="00F65AAA" w:rsidRDefault="00F65AAA" w:rsidP="00122B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60F388" w14:textId="77777777" w:rsidR="00F65AAA" w:rsidRDefault="00F65AAA" w:rsidP="00122B56">
      <w:pPr>
        <w:pStyle w:val="KUJKPolozka"/>
        <w:spacing w:line="240" w:lineRule="auto"/>
      </w:pPr>
      <w:r w:rsidRPr="00841DFC">
        <w:t>Zastupitelstvo Jihočeského kraje</w:t>
      </w:r>
    </w:p>
    <w:p w14:paraId="316BA131" w14:textId="77777777" w:rsidR="00F65AAA" w:rsidRDefault="00F65AAA" w:rsidP="0016024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913A727" w14:textId="77777777" w:rsidR="00F65AAA" w:rsidRPr="00F73AB9" w:rsidRDefault="00F65AAA" w:rsidP="00160244">
      <w:pPr>
        <w:pStyle w:val="KUJKnormal"/>
        <w:rPr>
          <w:sz w:val="19"/>
        </w:rPr>
      </w:pPr>
      <w:r w:rsidRPr="00F73AB9">
        <w:rPr>
          <w:sz w:val="19"/>
        </w:rPr>
        <w:t xml:space="preserve">informaci o aktuálním stavu transformace dětských domovů a možnostech finančního krytí její realizace dle důvodové zprávy návrhu č. </w:t>
      </w:r>
      <w:r>
        <w:rPr>
          <w:sz w:val="19"/>
        </w:rPr>
        <w:t>176</w:t>
      </w:r>
      <w:r w:rsidRPr="00F73AB9">
        <w:rPr>
          <w:sz w:val="19"/>
        </w:rPr>
        <w:t>/</w:t>
      </w:r>
      <w:r>
        <w:rPr>
          <w:sz w:val="19"/>
        </w:rPr>
        <w:t>Z</w:t>
      </w:r>
      <w:r w:rsidRPr="00F73AB9">
        <w:rPr>
          <w:sz w:val="19"/>
        </w:rPr>
        <w:t>K/25;</w:t>
      </w:r>
    </w:p>
    <w:p w14:paraId="5200282F" w14:textId="77777777" w:rsidR="00F65AAA" w:rsidRPr="00827FC2" w:rsidRDefault="00F65AAA" w:rsidP="00160244">
      <w:pPr>
        <w:pStyle w:val="KUJKdoplnek2"/>
        <w:spacing w:line="240" w:lineRule="auto"/>
      </w:pPr>
      <w:r w:rsidRPr="00D87405">
        <w:t>mění</w:t>
      </w:r>
    </w:p>
    <w:p w14:paraId="6B126292" w14:textId="77777777" w:rsidR="00F65AAA" w:rsidRPr="00F73AB9" w:rsidRDefault="00F65AAA" w:rsidP="00F73AB9">
      <w:pPr>
        <w:pStyle w:val="KUJKnormal"/>
        <w:rPr>
          <w:sz w:val="19"/>
        </w:rPr>
      </w:pPr>
      <w:r w:rsidRPr="00F73AB9">
        <w:rPr>
          <w:sz w:val="19"/>
        </w:rPr>
        <w:t xml:space="preserve">usnesení 37/2025/ZK-4 ze dne 27. 2. 2025 ve věci „Revokace usnesení č. 34/2024/ZK-32 ve věci Transformace dětských domovů v rámci JčK,“ takto: </w:t>
      </w:r>
    </w:p>
    <w:p w14:paraId="3B5C7087" w14:textId="77777777" w:rsidR="00F65AAA" w:rsidRPr="00F73AB9" w:rsidRDefault="00F65AAA" w:rsidP="00F73AB9">
      <w:pPr>
        <w:spacing w:line="240" w:lineRule="auto"/>
        <w:contextualSpacing/>
        <w:jc w:val="both"/>
        <w:rPr>
          <w:sz w:val="19"/>
          <w:szCs w:val="28"/>
        </w:rPr>
      </w:pPr>
      <w:r w:rsidRPr="00F73AB9">
        <w:rPr>
          <w:sz w:val="19"/>
          <w:szCs w:val="28"/>
        </w:rPr>
        <w:t xml:space="preserve">v části II se celý původní text nahrazuje textem: </w:t>
      </w:r>
    </w:p>
    <w:p w14:paraId="6455BDB0" w14:textId="77777777" w:rsidR="00F65AAA" w:rsidRPr="00F73AB9" w:rsidRDefault="00F65AAA" w:rsidP="00F73AB9">
      <w:pPr>
        <w:spacing w:line="240" w:lineRule="auto"/>
        <w:contextualSpacing/>
        <w:jc w:val="both"/>
        <w:rPr>
          <w:sz w:val="19"/>
          <w:szCs w:val="28"/>
        </w:rPr>
      </w:pPr>
      <w:r w:rsidRPr="00F73AB9">
        <w:rPr>
          <w:sz w:val="19"/>
          <w:szCs w:val="28"/>
        </w:rPr>
        <w:t>usnesení č. 34/2024/ZK-32 ze dne 22. 2. 2024 ve věci Transformace dětských domovů v rámci JčK takto: v části II bodě 2 se původní text „v celkové výši 100 mil. Kč“ nahrazuje textem „v celkové výši 126 mil. Kč“;</w:t>
      </w:r>
    </w:p>
    <w:p w14:paraId="485AF030" w14:textId="77777777" w:rsidR="00F65AAA" w:rsidRDefault="00F65AAA" w:rsidP="00160244">
      <w:pPr>
        <w:pStyle w:val="KUJKdoplnek2"/>
        <w:spacing w:line="240" w:lineRule="auto"/>
      </w:pPr>
      <w:r w:rsidRPr="0021676C">
        <w:t>ukládá</w:t>
      </w:r>
    </w:p>
    <w:p w14:paraId="63BD46D0" w14:textId="77777777" w:rsidR="00F65AAA" w:rsidRDefault="00F65AAA" w:rsidP="00160244">
      <w:pPr>
        <w:pStyle w:val="KUJKnormal"/>
      </w:pPr>
      <w:r>
        <w:t>JUDr. Lukáši Glaserovi, LL.M., řediteli krajského úřadu, zajistit realizaci části II usnesení.</w:t>
      </w:r>
    </w:p>
    <w:p w14:paraId="6F52908C" w14:textId="77777777" w:rsidR="00F65AAA" w:rsidRDefault="00F65AAA" w:rsidP="00160244">
      <w:pPr>
        <w:pStyle w:val="KUJKnormal"/>
      </w:pPr>
      <w:r>
        <w:t>T: 30. 6. 2025</w:t>
      </w:r>
    </w:p>
    <w:p w14:paraId="4D8035C8" w14:textId="77777777" w:rsidR="00F65AAA" w:rsidRDefault="00F65AAA" w:rsidP="00160244">
      <w:pPr>
        <w:pStyle w:val="KUJKnormal"/>
      </w:pPr>
    </w:p>
    <w:p w14:paraId="4A9C1B4A" w14:textId="77777777" w:rsidR="00F65AAA" w:rsidRDefault="00F65AAA" w:rsidP="00160244">
      <w:pPr>
        <w:pStyle w:val="KUJKnormal"/>
      </w:pPr>
    </w:p>
    <w:p w14:paraId="61CFB35B" w14:textId="77777777" w:rsidR="00F65AAA" w:rsidRDefault="00F65AAA" w:rsidP="00160244">
      <w:pPr>
        <w:pStyle w:val="KUJKmezeraDZ"/>
      </w:pPr>
      <w:bookmarkStart w:id="1" w:name="US_DuvodZprava"/>
      <w:bookmarkEnd w:id="1"/>
    </w:p>
    <w:p w14:paraId="7820A337" w14:textId="77777777" w:rsidR="00F65AAA" w:rsidRDefault="00F65AAA" w:rsidP="00160244">
      <w:pPr>
        <w:pStyle w:val="KUJKnadpisDZ"/>
      </w:pPr>
      <w:r>
        <w:t>DŮVODOVÁ ZPRÁVA</w:t>
      </w:r>
    </w:p>
    <w:p w14:paraId="17226A2C" w14:textId="77777777" w:rsidR="00F65AAA" w:rsidRPr="009B7B0B" w:rsidRDefault="00F65AAA" w:rsidP="00160244">
      <w:pPr>
        <w:pStyle w:val="KUJKmezeraDZ"/>
      </w:pPr>
    </w:p>
    <w:p w14:paraId="1E4FD0C2" w14:textId="77777777" w:rsidR="00F65AAA" w:rsidRPr="00F73AB9" w:rsidRDefault="00F65AAA" w:rsidP="00F73AB9">
      <w:pPr>
        <w:pStyle w:val="KUJKnormal"/>
      </w:pPr>
      <w:r w:rsidRPr="00F73AB9">
        <w:rPr>
          <w:rFonts w:eastAsia="Times New Roman" w:cs="Tahoma"/>
          <w:sz w:val="19"/>
          <w:szCs w:val="19"/>
          <w:lang w:eastAsia="cs-CZ"/>
        </w:rPr>
        <w:t>Dne 22. 2. 2024 Zastupitelstvo Jihočeského kraje přijalo usnesení č. 34/2024/ZK-32. Na základě tohoto usnesení bylo zajištěno finanční krytí transformace DD a byl nastaven postup prací, následně ve spolupráci OŠMT a OHMS dne 25. 4. 2024 schválilo Zastupitelstvo Jihočeského kraje jednotlivé kupní smlouvy pro nákup nemovitostí (pro každý DD samostatně) včetně návrhu na uvolnění finančních prostředků z rozpočtu kraje prostřednictvím FRŠ.</w:t>
      </w:r>
    </w:p>
    <w:p w14:paraId="770873D8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1A512FB7" w14:textId="77777777" w:rsidR="00F65AAA" w:rsidRPr="00F73AB9" w:rsidRDefault="00F65AAA" w:rsidP="00F73AB9">
      <w:pPr>
        <w:spacing w:line="240" w:lineRule="auto"/>
        <w:jc w:val="both"/>
        <w:rPr>
          <w:rFonts w:cs="Arial"/>
          <w:sz w:val="19"/>
          <w:szCs w:val="19"/>
        </w:rPr>
      </w:pPr>
      <w:r w:rsidRPr="00F73AB9">
        <w:rPr>
          <w:rFonts w:cs="Arial"/>
          <w:sz w:val="19"/>
          <w:szCs w:val="19"/>
        </w:rPr>
        <w:t>POŘÍZENÍ DALŠÍCH OBJEKTŮ K TRANSFORMACI DD</w:t>
      </w:r>
    </w:p>
    <w:p w14:paraId="37A037E7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188D6A25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Dne 27. 2. 2025 Zastupitelstvo Jihočeského kraje přijalo usnesení č. 37/2025/ZK-4. Na základě tohoto usnesení bylo zajištěno navýšení souhrnné částky ze 100 mil. Kč na 120 mil. Kč. Dne 10. dubna 2025 byla ZK schválena koupě rodinného domu na Srubci a v Českém Krumlově.</w:t>
      </w:r>
    </w:p>
    <w:p w14:paraId="042DBD06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69B94FC4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Majitel domu ve Vrátě na poslední chvíli od záměru prodeje své nemovitosti Jihočeskému kraji odstoupil. Pro DD Boršov bylo hledáno náhradní řešení, ze stávajících možností byla k možné koupi vybrána polovina dvojdomku v Hluboké nad Vltavou.</w:t>
      </w:r>
    </w:p>
    <w:p w14:paraId="05360213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 xml:space="preserve">Z posledního jednání, které se konalo 4. 4. 2025 na KÚ, vzešla ze strany majitele nabídka na odkup </w:t>
      </w:r>
      <w:r w:rsidRPr="00F73AB9">
        <w:rPr>
          <w:rFonts w:eastAsia="Times New Roman" w:cs="Tahoma"/>
          <w:b/>
          <w:bCs/>
          <w:sz w:val="19"/>
          <w:szCs w:val="19"/>
          <w:lang w:eastAsia="cs-CZ"/>
        </w:rPr>
        <w:t>obou</w:t>
      </w:r>
      <w:r w:rsidRPr="00F73AB9">
        <w:rPr>
          <w:rFonts w:eastAsia="Times New Roman" w:cs="Tahoma"/>
          <w:sz w:val="19"/>
          <w:szCs w:val="19"/>
          <w:lang w:eastAsia="cs-CZ"/>
        </w:rPr>
        <w:t xml:space="preserve"> částí dvojdomku za </w:t>
      </w:r>
      <w:r w:rsidRPr="00F73AB9">
        <w:rPr>
          <w:rFonts w:eastAsia="Times New Roman" w:cs="Tahoma"/>
          <w:b/>
          <w:bCs/>
          <w:sz w:val="19"/>
          <w:szCs w:val="19"/>
          <w:lang w:eastAsia="cs-CZ"/>
        </w:rPr>
        <w:t>zvýhodněnou cenu</w:t>
      </w:r>
      <w:r w:rsidRPr="00F73AB9">
        <w:rPr>
          <w:rFonts w:eastAsia="Times New Roman" w:cs="Tahoma"/>
          <w:sz w:val="19"/>
          <w:szCs w:val="19"/>
          <w:lang w:eastAsia="cs-CZ"/>
        </w:rPr>
        <w:t xml:space="preserve">. Majitel je ochoten prodat Jihočeskému kraji celý objekt, </w:t>
      </w:r>
      <w:r w:rsidRPr="00F73AB9">
        <w:rPr>
          <w:rFonts w:eastAsia="Times New Roman" w:cs="Tahoma"/>
          <w:b/>
          <w:bCs/>
          <w:sz w:val="19"/>
          <w:szCs w:val="19"/>
          <w:lang w:eastAsia="cs-CZ"/>
        </w:rPr>
        <w:t>tedy dvě samostatné bytové jednotky za cenu 20 milionů</w:t>
      </w:r>
      <w:r w:rsidRPr="00F73AB9">
        <w:rPr>
          <w:rFonts w:eastAsia="Times New Roman" w:cs="Tahoma"/>
          <w:sz w:val="19"/>
          <w:szCs w:val="19"/>
          <w:lang w:eastAsia="cs-CZ"/>
        </w:rPr>
        <w:t xml:space="preserve">, v opačném případě odstoupí od záměru prodeje. </w:t>
      </w:r>
    </w:p>
    <w:p w14:paraId="03FA4DA6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34819C5E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b/>
          <w:bCs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V tuto chvíli již není OŠMT schopno nahradit nemovitost na Hluboké jiným vhodným objektem, který by mohl být předložen do výzvy NPO a splňoval by podmínky výzvy. Dle podmínek výzvy je dvojdomek uznatelným výdajem, splňuje podmínky výzvy, což je výhodné. Navrhovaná cena 20 milionů zahrnuje oproti nabídce z</w:t>
      </w:r>
      <w:r>
        <w:rPr>
          <w:rFonts w:eastAsia="Times New Roman" w:cs="Tahoma"/>
          <w:sz w:val="19"/>
          <w:szCs w:val="19"/>
          <w:lang w:eastAsia="cs-CZ"/>
        </w:rPr>
        <w:t> </w:t>
      </w:r>
      <w:r w:rsidRPr="00F73AB9">
        <w:rPr>
          <w:rFonts w:eastAsia="Times New Roman" w:cs="Tahoma"/>
          <w:sz w:val="19"/>
          <w:szCs w:val="19"/>
          <w:lang w:eastAsia="cs-CZ"/>
        </w:rPr>
        <w:t xml:space="preserve">realitní kanceláře (9 690 000 Kč) ještě navíc dokončení formou podlah, dveří, obkladů, sanity a krbových kamen, a to v obou bytových jednotkách. </w:t>
      </w:r>
    </w:p>
    <w:p w14:paraId="6B588B6D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3EE9C72A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 xml:space="preserve">Pokud nedojde </w:t>
      </w:r>
      <w:r w:rsidRPr="00F73AB9">
        <w:rPr>
          <w:rFonts w:eastAsia="Times New Roman" w:cs="Tahoma"/>
          <w:b/>
          <w:bCs/>
          <w:sz w:val="19"/>
          <w:szCs w:val="19"/>
          <w:lang w:eastAsia="cs-CZ"/>
        </w:rPr>
        <w:t>ke koupi celého dvojdomku</w:t>
      </w:r>
      <w:r w:rsidRPr="00F73AB9">
        <w:rPr>
          <w:rFonts w:eastAsia="Times New Roman" w:cs="Tahoma"/>
          <w:sz w:val="19"/>
          <w:szCs w:val="19"/>
          <w:lang w:eastAsia="cs-CZ"/>
        </w:rPr>
        <w:t>,</w:t>
      </w:r>
      <w:r w:rsidRPr="00F73AB9">
        <w:rPr>
          <w:rFonts w:eastAsia="Times New Roman" w:cs="Tahoma"/>
          <w:b/>
          <w:bCs/>
          <w:sz w:val="19"/>
          <w:szCs w:val="19"/>
          <w:lang w:eastAsia="cs-CZ"/>
        </w:rPr>
        <w:t xml:space="preserve"> </w:t>
      </w:r>
      <w:r w:rsidRPr="00F73AB9">
        <w:rPr>
          <w:rFonts w:eastAsia="Times New Roman" w:cs="Tahoma"/>
          <w:sz w:val="19"/>
          <w:szCs w:val="19"/>
          <w:lang w:eastAsia="cs-CZ"/>
        </w:rPr>
        <w:t>nedojde k celkové transformaci DD Boršov. Z původního objektu o 32 dětech bude 18 dětí odstěhováno do nových domácností (U Tří Lvů, Puklicova, Srubec) a zůstane 14 dětí plus ředitelství, pro které budeme buď hledat další možnosti transformování, nebo zůstanou v části původního areálu, což se jeví nevýhodně z ekonomického pohledu. Pro celkovou transformaci DD Boršov je v plánu využití také domu na Srubci Stará Pohůrka 437, který již kraj vlastní. Dům by mohl být zrekonstruován pro potřeby jedné rodinné skupiny, vzhledem k charakteru domu, by se zde musely vytvořit jednotlivé pokoje oddělené příčkami, které zde nyní žádné nejsou. Nastěhovalo by se maximálně 8 dětí, zbývajících 6</w:t>
      </w:r>
      <w:r>
        <w:rPr>
          <w:rFonts w:eastAsia="Times New Roman" w:cs="Tahoma"/>
          <w:sz w:val="19"/>
          <w:szCs w:val="19"/>
          <w:lang w:eastAsia="cs-CZ"/>
        </w:rPr>
        <w:t> </w:t>
      </w:r>
      <w:r w:rsidRPr="00F73AB9">
        <w:rPr>
          <w:rFonts w:eastAsia="Times New Roman" w:cs="Tahoma"/>
          <w:sz w:val="19"/>
          <w:szCs w:val="19"/>
          <w:lang w:eastAsia="cs-CZ"/>
        </w:rPr>
        <w:t>a</w:t>
      </w:r>
      <w:r>
        <w:rPr>
          <w:rFonts w:eastAsia="Times New Roman" w:cs="Tahoma"/>
          <w:sz w:val="19"/>
          <w:szCs w:val="19"/>
          <w:lang w:eastAsia="cs-CZ"/>
        </w:rPr>
        <w:t> </w:t>
      </w:r>
      <w:r w:rsidRPr="00F73AB9">
        <w:rPr>
          <w:rFonts w:eastAsia="Times New Roman" w:cs="Tahoma"/>
          <w:sz w:val="19"/>
          <w:szCs w:val="19"/>
          <w:lang w:eastAsia="cs-CZ"/>
        </w:rPr>
        <w:t>ředitelství by zůstalo v areálu v Boršově. V příloze č. 2 je uveden aktuální stav dětí v DD Boršov a</w:t>
      </w:r>
      <w:r>
        <w:rPr>
          <w:rFonts w:eastAsia="Times New Roman" w:cs="Tahoma"/>
          <w:sz w:val="19"/>
          <w:szCs w:val="19"/>
          <w:lang w:eastAsia="cs-CZ"/>
        </w:rPr>
        <w:t> </w:t>
      </w:r>
      <w:r w:rsidRPr="00F73AB9">
        <w:rPr>
          <w:rFonts w:eastAsia="Times New Roman" w:cs="Tahoma"/>
          <w:sz w:val="19"/>
          <w:szCs w:val="19"/>
          <w:lang w:eastAsia="cs-CZ"/>
        </w:rPr>
        <w:t>navrhovaný stav dětí po celkové transformaci DD Boršov.</w:t>
      </w:r>
    </w:p>
    <w:p w14:paraId="298A65C2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3D6E929A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Jihočeský kraj může před ukončením výzev ještě maximálně využít šanci nabízenou výzvami NPO a pořídit další 2 nemovitosti. V usnesení č. 34/2024/ZK-32 byla stanovena souhrnná částka 100 mil Kč pro 7 objektů schválených v roce 2024. V usnesení č. 37/2025/ZK-4 byla souhrnná částka navýšena na 120 mil. Kč, čerpání z FRŠ pro 10 objektů. V příloze č. 1 - Transformace DD Přehledová tabulka aktuální stav je uvedeno původních 9 objektů a také další navrhované 2 objekty. Předpokládaná výše nákladů na pořízení 2 nových nemovitostí je 20 mil. Kč, celková předpokládaná výše nákladů na pořízení 4 nových nemovitostí (Srubec, Český Krumlov, 2x</w:t>
      </w:r>
      <w:r>
        <w:rPr>
          <w:rFonts w:eastAsia="Times New Roman" w:cs="Tahoma"/>
          <w:sz w:val="19"/>
          <w:szCs w:val="19"/>
          <w:lang w:eastAsia="cs-CZ"/>
        </w:rPr>
        <w:t> </w:t>
      </w:r>
      <w:r w:rsidRPr="00F73AB9">
        <w:rPr>
          <w:rFonts w:eastAsia="Times New Roman" w:cs="Tahoma"/>
          <w:sz w:val="19"/>
          <w:szCs w:val="19"/>
          <w:lang w:eastAsia="cs-CZ"/>
        </w:rPr>
        <w:t>Hluboká nad Vltavou) je 43,09 mil. Kč, která zahrnuje náklady na pořízení nemovitostí a náklady na případné drobnější rekonstrukce zajišťující splnění podmínek NPO a náklady na vybavení DD. Do celkové částky je v tabulce zahrnuto také zvýšení nákladů na rekonstrukce podle již zhotovených PD (tato částka činí 1,778 mil. Kč a bude následně upravena podle výsledků veřejných zakázek). Celková souhrnná částka by se tedy zvýšila z původně schválených 120 mil. Kč na 126 mil. Kč.</w:t>
      </w:r>
    </w:p>
    <w:p w14:paraId="55FAF097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 xml:space="preserve">Rozpočtovým opatřením na RK 13. 3. 2025 bylo převedeno do FRŠ 39 050 000,00 Kč a na RK 7. 5. 2025 již bylo do FRŠ </w:t>
      </w:r>
      <w:r w:rsidRPr="00F73AB9">
        <w:rPr>
          <w:szCs w:val="20"/>
        </w:rPr>
        <w:t xml:space="preserve">schváleno převedení </w:t>
      </w:r>
      <w:r w:rsidRPr="00F73AB9">
        <w:rPr>
          <w:rFonts w:eastAsia="Times New Roman" w:cs="Tahoma"/>
          <w:sz w:val="19"/>
          <w:szCs w:val="19"/>
          <w:lang w:eastAsia="cs-CZ"/>
        </w:rPr>
        <w:t>zbylých 6 mil. Kč. Rozpočtové opatření z RK 7. 5. 2025 bude předloženo ZK na vědomí dne 19. 6. 2025.</w:t>
      </w:r>
    </w:p>
    <w:p w14:paraId="16ECB81C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125FC931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Pro úspěšné podání žádostí do NPO a získání dotačních prostředků je zapotřebí provést následující postupné kroky, obdobně jako v únoru tohoto roku:</w:t>
      </w:r>
    </w:p>
    <w:p w14:paraId="7FB6070F" w14:textId="77777777" w:rsidR="00F65AAA" w:rsidRPr="00F73AB9" w:rsidRDefault="00F65AAA" w:rsidP="00F73AB9">
      <w:pPr>
        <w:numPr>
          <w:ilvl w:val="0"/>
          <w:numId w:val="12"/>
        </w:num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Změnit usnesení č. 37/2025/ZK-4 ze dne 27. 2. 2025 do ZK 19. 6. 2025 a navýšení souhrnné částky na 126 mil. Kč (OŠMT).</w:t>
      </w:r>
      <w:r w:rsidRPr="00F73AB9">
        <w:rPr>
          <w:rFonts w:eastAsia="Times New Roman" w:cs="Tahoma"/>
          <w:sz w:val="19"/>
          <w:szCs w:val="19"/>
          <w:lang w:eastAsia="cs-CZ"/>
        </w:rPr>
        <w:tab/>
      </w:r>
    </w:p>
    <w:p w14:paraId="0539B560" w14:textId="77777777" w:rsidR="00F65AAA" w:rsidRPr="00F73AB9" w:rsidRDefault="00F65AAA" w:rsidP="00F73AB9">
      <w:pPr>
        <w:numPr>
          <w:ilvl w:val="0"/>
          <w:numId w:val="12"/>
        </w:num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Předložit návrhy ke koupi nemovitostí do ZK 19. 6. 2025, následně zapsat zakoupené nemovitosti do katastru nemovitostí (OHMS).</w:t>
      </w:r>
    </w:p>
    <w:p w14:paraId="11EFDF25" w14:textId="77777777" w:rsidR="00F65AAA" w:rsidRPr="00F73AB9" w:rsidRDefault="00F65AAA" w:rsidP="00F73AB9">
      <w:pPr>
        <w:numPr>
          <w:ilvl w:val="0"/>
          <w:numId w:val="12"/>
        </w:num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Společně s OHMS předloží OŠMT návrh na realizaci projektů v rámci NPO.</w:t>
      </w:r>
    </w:p>
    <w:p w14:paraId="3A505BEB" w14:textId="77777777" w:rsidR="00F65AAA" w:rsidRPr="00F73AB9" w:rsidRDefault="00F65AAA" w:rsidP="00F73AB9">
      <w:pPr>
        <w:numPr>
          <w:ilvl w:val="0"/>
          <w:numId w:val="12"/>
        </w:num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  <w:r w:rsidRPr="00F73AB9">
        <w:rPr>
          <w:rFonts w:eastAsia="Times New Roman" w:cs="Tahoma"/>
          <w:sz w:val="19"/>
          <w:szCs w:val="19"/>
          <w:lang w:eastAsia="cs-CZ"/>
        </w:rPr>
        <w:t>Podat žádost do NPO nejpozději do 30. 6. 2025, po tomto termínu již nelze žádosti podávat (OŠMT, jednotlivé DD).</w:t>
      </w:r>
    </w:p>
    <w:p w14:paraId="37E3192B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1E495573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i/>
          <w:iCs/>
          <w:sz w:val="19"/>
          <w:szCs w:val="19"/>
          <w:lang w:eastAsia="cs-CZ"/>
        </w:rPr>
      </w:pPr>
      <w:r w:rsidRPr="00F73AB9">
        <w:rPr>
          <w:rFonts w:eastAsia="Times New Roman" w:cs="Tahoma"/>
          <w:i/>
          <w:iCs/>
          <w:sz w:val="19"/>
          <w:szCs w:val="19"/>
          <w:lang w:eastAsia="cs-CZ"/>
        </w:rPr>
        <w:t>Usnesení Zastupitelstva Jihočeského kraje č. 37/2025/ZK-4 ze dne 27. 2. 2025</w:t>
      </w:r>
    </w:p>
    <w:p w14:paraId="7E5FD38C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3D439998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i/>
          <w:iCs/>
          <w:sz w:val="19"/>
          <w:szCs w:val="19"/>
          <w:u w:val="single"/>
          <w:lang w:eastAsia="cs-CZ"/>
        </w:rPr>
      </w:pPr>
      <w:r w:rsidRPr="00F73AB9">
        <w:rPr>
          <w:rFonts w:eastAsia="Times New Roman" w:cs="Tahoma"/>
          <w:i/>
          <w:iCs/>
          <w:sz w:val="19"/>
          <w:szCs w:val="19"/>
          <w:u w:val="single"/>
          <w:lang w:eastAsia="cs-CZ"/>
        </w:rPr>
        <w:t>K bodu: Revokace usnesení č. 34/2024/ZK-32 ve věci Transformace dětských domovů v rámci JčK</w:t>
      </w:r>
    </w:p>
    <w:p w14:paraId="6568403F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sz w:val="19"/>
          <w:szCs w:val="19"/>
          <w:lang w:eastAsia="cs-CZ"/>
        </w:rPr>
      </w:pPr>
    </w:p>
    <w:p w14:paraId="6B759D88" w14:textId="77777777" w:rsidR="00F65AAA" w:rsidRPr="00F73AB9" w:rsidRDefault="00F65AAA" w:rsidP="00F73AB9">
      <w:pPr>
        <w:spacing w:line="240" w:lineRule="auto"/>
        <w:contextualSpacing/>
        <w:jc w:val="both"/>
        <w:rPr>
          <w:rFonts w:eastAsia="Times New Roman" w:cs="Tahoma"/>
          <w:i/>
          <w:iCs/>
          <w:sz w:val="19"/>
          <w:szCs w:val="19"/>
          <w:lang w:eastAsia="cs-CZ"/>
        </w:rPr>
      </w:pPr>
      <w:r w:rsidRPr="00F73AB9">
        <w:rPr>
          <w:rFonts w:eastAsia="Times New Roman" w:cs="Tahoma"/>
          <w:i/>
          <w:iCs/>
          <w:sz w:val="19"/>
          <w:szCs w:val="19"/>
          <w:lang w:eastAsia="cs-CZ"/>
        </w:rPr>
        <w:t>Usnesení č. 37/2025/ZK-4</w:t>
      </w:r>
    </w:p>
    <w:p w14:paraId="1A2952C9" w14:textId="77777777" w:rsidR="00F65AAA" w:rsidRPr="00F73AB9" w:rsidRDefault="00F65AAA" w:rsidP="00F73AB9">
      <w:pPr>
        <w:spacing w:line="240" w:lineRule="auto"/>
        <w:contextualSpacing/>
        <w:jc w:val="both"/>
        <w:rPr>
          <w:i/>
          <w:iCs/>
          <w:sz w:val="19"/>
          <w:szCs w:val="28"/>
        </w:rPr>
      </w:pPr>
    </w:p>
    <w:p w14:paraId="3E599D8B" w14:textId="77777777" w:rsidR="00F65AAA" w:rsidRPr="00F73AB9" w:rsidRDefault="00F65AAA" w:rsidP="00F73AB9">
      <w:pPr>
        <w:numPr>
          <w:ilvl w:val="0"/>
          <w:numId w:val="11"/>
        </w:numPr>
        <w:spacing w:line="240" w:lineRule="auto"/>
        <w:contextualSpacing/>
        <w:jc w:val="both"/>
        <w:rPr>
          <w:b/>
          <w:i/>
          <w:iCs/>
          <w:sz w:val="19"/>
          <w:szCs w:val="19"/>
        </w:rPr>
      </w:pPr>
      <w:r w:rsidRPr="00F73AB9">
        <w:rPr>
          <w:b/>
          <w:i/>
          <w:iCs/>
          <w:sz w:val="19"/>
          <w:szCs w:val="19"/>
        </w:rPr>
        <w:t>Zastupitelstvo Jihočeského kraje</w:t>
      </w:r>
    </w:p>
    <w:p w14:paraId="0EFDC400" w14:textId="77777777" w:rsidR="00F65AAA" w:rsidRPr="00F73AB9" w:rsidRDefault="00F65AAA" w:rsidP="00F73AB9">
      <w:pPr>
        <w:numPr>
          <w:ilvl w:val="1"/>
          <w:numId w:val="11"/>
        </w:numPr>
        <w:spacing w:line="240" w:lineRule="auto"/>
        <w:ind w:left="357" w:hanging="357"/>
        <w:contextualSpacing/>
        <w:jc w:val="both"/>
        <w:rPr>
          <w:b/>
          <w:i/>
          <w:iCs/>
          <w:sz w:val="19"/>
          <w:szCs w:val="19"/>
        </w:rPr>
      </w:pPr>
      <w:r w:rsidRPr="00F73AB9">
        <w:rPr>
          <w:b/>
          <w:i/>
          <w:iCs/>
          <w:sz w:val="19"/>
          <w:szCs w:val="19"/>
        </w:rPr>
        <w:t>bere na vědomí</w:t>
      </w:r>
    </w:p>
    <w:p w14:paraId="3854FA0F" w14:textId="77777777" w:rsidR="00F65AAA" w:rsidRDefault="00F65AAA" w:rsidP="00F73AB9">
      <w:pPr>
        <w:spacing w:line="240" w:lineRule="auto"/>
        <w:jc w:val="both"/>
        <w:rPr>
          <w:bCs/>
          <w:i/>
          <w:iCs/>
          <w:sz w:val="19"/>
          <w:szCs w:val="19"/>
        </w:rPr>
      </w:pPr>
      <w:r w:rsidRPr="00F73AB9">
        <w:rPr>
          <w:bCs/>
          <w:i/>
          <w:iCs/>
          <w:sz w:val="19"/>
          <w:szCs w:val="19"/>
        </w:rPr>
        <w:t>informaci o aktuálním stavu transformace dětských domovů a možnostech finančního krytí její realizace dle důvodové zprávy návrhu č. 53/ZK/25;</w:t>
      </w:r>
    </w:p>
    <w:p w14:paraId="2F09E4EC" w14:textId="77777777" w:rsidR="00F65AAA" w:rsidRDefault="00F65AAA" w:rsidP="00817D47">
      <w:pPr>
        <w:pStyle w:val="KUJKnormal"/>
      </w:pPr>
    </w:p>
    <w:p w14:paraId="299FF28D" w14:textId="77777777" w:rsidR="00F65AAA" w:rsidRPr="00F73AB9" w:rsidRDefault="00F65AAA" w:rsidP="00F73AB9">
      <w:pPr>
        <w:pStyle w:val="KUJKnormal"/>
      </w:pPr>
    </w:p>
    <w:p w14:paraId="7828C344" w14:textId="77777777" w:rsidR="00F65AAA" w:rsidRPr="00F73AB9" w:rsidRDefault="00F65AAA" w:rsidP="00F73AB9">
      <w:pPr>
        <w:numPr>
          <w:ilvl w:val="1"/>
          <w:numId w:val="11"/>
        </w:numPr>
        <w:spacing w:line="240" w:lineRule="auto"/>
        <w:contextualSpacing/>
        <w:jc w:val="both"/>
        <w:rPr>
          <w:b/>
          <w:i/>
          <w:iCs/>
          <w:sz w:val="19"/>
          <w:szCs w:val="19"/>
        </w:rPr>
      </w:pPr>
      <w:r w:rsidRPr="00F73AB9">
        <w:rPr>
          <w:b/>
          <w:i/>
          <w:iCs/>
          <w:sz w:val="19"/>
          <w:szCs w:val="19"/>
        </w:rPr>
        <w:t>mění</w:t>
      </w:r>
    </w:p>
    <w:p w14:paraId="4ED802CF" w14:textId="77777777" w:rsidR="00F65AAA" w:rsidRPr="00F73AB9" w:rsidRDefault="00F65AAA" w:rsidP="00F73AB9">
      <w:pPr>
        <w:numPr>
          <w:ilvl w:val="0"/>
          <w:numId w:val="11"/>
        </w:numPr>
        <w:spacing w:line="240" w:lineRule="auto"/>
        <w:contextualSpacing/>
        <w:jc w:val="both"/>
        <w:rPr>
          <w:bCs/>
          <w:i/>
          <w:iCs/>
          <w:sz w:val="19"/>
          <w:szCs w:val="19"/>
        </w:rPr>
      </w:pPr>
      <w:r w:rsidRPr="00F73AB9">
        <w:rPr>
          <w:bCs/>
          <w:i/>
          <w:iCs/>
          <w:sz w:val="19"/>
          <w:szCs w:val="19"/>
        </w:rPr>
        <w:t>usnesení č. 34/2024/ZK-32 ze dne 22. 2. 2024 ve věci Transformace dětských domovů v rámci JčK takto: v části II bodě 2 se původní text „v celkové výši 100 mil. Kč“ nahrazuje textem „v celkové výši 120 mil. Kč“;</w:t>
      </w:r>
    </w:p>
    <w:p w14:paraId="4FF0A9D2" w14:textId="77777777" w:rsidR="00F65AAA" w:rsidRPr="00F73AB9" w:rsidRDefault="00F65AAA" w:rsidP="00F73AB9">
      <w:pPr>
        <w:numPr>
          <w:ilvl w:val="1"/>
          <w:numId w:val="0"/>
        </w:numPr>
        <w:spacing w:line="240" w:lineRule="auto"/>
        <w:ind w:left="360" w:hanging="360"/>
        <w:contextualSpacing/>
        <w:jc w:val="both"/>
        <w:rPr>
          <w:b/>
          <w:i/>
          <w:iCs/>
          <w:sz w:val="19"/>
          <w:szCs w:val="19"/>
        </w:rPr>
      </w:pPr>
      <w:r w:rsidRPr="00F73AB9">
        <w:rPr>
          <w:b/>
          <w:sz w:val="19"/>
          <w:szCs w:val="19"/>
        </w:rPr>
        <w:t>III.</w:t>
      </w:r>
      <w:r w:rsidRPr="00F73AB9">
        <w:rPr>
          <w:b/>
          <w:i/>
          <w:iCs/>
          <w:sz w:val="19"/>
          <w:szCs w:val="19"/>
        </w:rPr>
        <w:t xml:space="preserve">  ukládá</w:t>
      </w:r>
    </w:p>
    <w:p w14:paraId="5EAFC956" w14:textId="77777777" w:rsidR="00F65AAA" w:rsidRPr="00F73AB9" w:rsidRDefault="00F65AAA" w:rsidP="00F73AB9">
      <w:pPr>
        <w:spacing w:line="240" w:lineRule="auto"/>
        <w:jc w:val="both"/>
        <w:rPr>
          <w:i/>
          <w:iCs/>
          <w:sz w:val="19"/>
          <w:szCs w:val="19"/>
        </w:rPr>
      </w:pPr>
      <w:r w:rsidRPr="00F73AB9">
        <w:rPr>
          <w:i/>
          <w:iCs/>
          <w:sz w:val="19"/>
          <w:szCs w:val="19"/>
        </w:rPr>
        <w:t>JUDr. Lukáši Glaserovi, LL.M., řediteli krajského úřadu, zajistit realizaci části II usnesení.</w:t>
      </w:r>
    </w:p>
    <w:p w14:paraId="18CBBF3D" w14:textId="77777777" w:rsidR="00F65AAA" w:rsidRPr="00F73AB9" w:rsidRDefault="00F65AAA" w:rsidP="00F73AB9">
      <w:pPr>
        <w:spacing w:line="240" w:lineRule="auto"/>
        <w:jc w:val="both"/>
        <w:rPr>
          <w:i/>
          <w:iCs/>
          <w:sz w:val="19"/>
          <w:szCs w:val="19"/>
        </w:rPr>
      </w:pPr>
      <w:r w:rsidRPr="00F73AB9">
        <w:rPr>
          <w:i/>
          <w:iCs/>
          <w:sz w:val="19"/>
          <w:szCs w:val="19"/>
        </w:rPr>
        <w:t>T: 30. 03. 2025</w:t>
      </w:r>
    </w:p>
    <w:p w14:paraId="5B743637" w14:textId="77777777" w:rsidR="00F65AAA" w:rsidRPr="00160244" w:rsidRDefault="00F65AAA" w:rsidP="00160244">
      <w:pPr>
        <w:pStyle w:val="KUJKnormal"/>
      </w:pPr>
    </w:p>
    <w:p w14:paraId="1450B885" w14:textId="77777777" w:rsidR="00F65AAA" w:rsidRDefault="00F65AAA" w:rsidP="00122B56">
      <w:pPr>
        <w:pStyle w:val="KUJKnormal"/>
      </w:pPr>
    </w:p>
    <w:p w14:paraId="77C3864D" w14:textId="77777777" w:rsidR="00F65AAA" w:rsidRDefault="00F65AAA" w:rsidP="00122B56">
      <w:pPr>
        <w:pStyle w:val="KUJKnormal"/>
      </w:pPr>
      <w:r>
        <w:t>Finanční nároky a krytí:</w:t>
      </w:r>
    </w:p>
    <w:p w14:paraId="23043CD3" w14:textId="77777777" w:rsidR="00F65AAA" w:rsidRDefault="00F65AAA" w:rsidP="00122B56">
      <w:pPr>
        <w:pStyle w:val="KUJKnormal"/>
      </w:pPr>
    </w:p>
    <w:p w14:paraId="749E2013" w14:textId="77777777" w:rsidR="00F65AAA" w:rsidRDefault="00F65AAA" w:rsidP="00122B56">
      <w:pPr>
        <w:pStyle w:val="KUJKnormal"/>
      </w:pPr>
    </w:p>
    <w:p w14:paraId="7141664C" w14:textId="77777777" w:rsidR="00F65AAA" w:rsidRDefault="00F65AAA" w:rsidP="00122B56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V roce 2024 byly do FRŠ na transformaci DD převedeny prostředky v celkové výši 80 950 000,00 Kč. V roce 2025 na RK 13. 3. 2025 byl rozpočtovým opatřením schválen převod 39 050 000,00 Kč a na RK 7. 5. 2025 byly do FRŠ převedeny zbylé prostředky ve výši 6 mil. Kč. To znamená, že z FRR do FRŠ již byly převedeny všechny prozatím známe prostředky k dokončení transformace DD v celkové výši 126 mil. Kč. </w:t>
      </w:r>
    </w:p>
    <w:p w14:paraId="74FE52F0" w14:textId="77777777" w:rsidR="00F65AAA" w:rsidRDefault="00F65AAA" w:rsidP="00122B56">
      <w:pPr>
        <w:pStyle w:val="KUJKnormal"/>
      </w:pPr>
    </w:p>
    <w:p w14:paraId="5BC0BF97" w14:textId="77777777" w:rsidR="00F65AAA" w:rsidRDefault="00F65AAA" w:rsidP="00122B56">
      <w:pPr>
        <w:pStyle w:val="KUJKnormal"/>
      </w:pPr>
    </w:p>
    <w:p w14:paraId="0C82EE2F" w14:textId="77777777" w:rsidR="00F65AAA" w:rsidRDefault="00F65AAA" w:rsidP="00122B56">
      <w:pPr>
        <w:pStyle w:val="KUJKnormal"/>
      </w:pPr>
      <w:r>
        <w:t>Návrh projednán (stanoviska): Návrh projednala rada kraje dne 22. 5. 2025 a svým usnesením č. 631/2025/RK-14 doporučila zastupitelstvu kraje ke schválení, Výbor pro výchovu, vzdělávání a zaměstnanost dne 9. 6. 2025 doporučil usnesením zastupitelstvu kraje ke schválení.</w:t>
      </w:r>
    </w:p>
    <w:p w14:paraId="15F82AE3" w14:textId="77777777" w:rsidR="00F65AAA" w:rsidRDefault="00F65AAA" w:rsidP="00122B56">
      <w:pPr>
        <w:pStyle w:val="KUJKnormal"/>
      </w:pPr>
    </w:p>
    <w:p w14:paraId="6C920793" w14:textId="77777777" w:rsidR="00F65AAA" w:rsidRDefault="00F65AAA" w:rsidP="00122B56">
      <w:pPr>
        <w:pStyle w:val="KUJKnormal"/>
      </w:pPr>
    </w:p>
    <w:p w14:paraId="39398CB0" w14:textId="77777777" w:rsidR="00F65AAA" w:rsidRDefault="00F65AAA" w:rsidP="00122B56">
      <w:pPr>
        <w:pStyle w:val="KUJKtucny"/>
      </w:pPr>
      <w:r w:rsidRPr="007939A8">
        <w:t>PŘÍLOHY:</w:t>
      </w:r>
    </w:p>
    <w:p w14:paraId="6FD70032" w14:textId="77777777" w:rsidR="00F65AAA" w:rsidRPr="00B52AA9" w:rsidRDefault="00F65AAA" w:rsidP="00371095">
      <w:pPr>
        <w:pStyle w:val="KUJKcislovany"/>
        <w:spacing w:line="240" w:lineRule="auto"/>
      </w:pPr>
      <w:r>
        <w:t>Transformace DD_Přehledová tabulka_aktuální stav</w:t>
      </w:r>
      <w:r w:rsidRPr="0081756D">
        <w:t xml:space="preserve"> (</w:t>
      </w:r>
      <w:r>
        <w:t>Transformace DD_přehledová tabulka_aktuální stav.xlsx</w:t>
      </w:r>
      <w:r w:rsidRPr="0081756D">
        <w:t>)</w:t>
      </w:r>
    </w:p>
    <w:p w14:paraId="262F6A36" w14:textId="77777777" w:rsidR="00F65AAA" w:rsidRPr="00B52AA9" w:rsidRDefault="00F65AAA" w:rsidP="00371095">
      <w:pPr>
        <w:pStyle w:val="KUJKcislovany"/>
        <w:spacing w:line="240" w:lineRule="auto"/>
      </w:pPr>
      <w:r>
        <w:t>DD Boršov_stav dětí</w:t>
      </w:r>
      <w:r w:rsidRPr="0081756D">
        <w:t xml:space="preserve"> (</w:t>
      </w:r>
      <w:r>
        <w:t>DD Boršov_stav dětí.xlsx</w:t>
      </w:r>
      <w:r w:rsidRPr="0081756D">
        <w:t>)</w:t>
      </w:r>
    </w:p>
    <w:p w14:paraId="040A70C3" w14:textId="77777777" w:rsidR="00F65AAA" w:rsidRPr="00371095" w:rsidRDefault="00F65AAA" w:rsidP="00371095">
      <w:pPr>
        <w:pStyle w:val="KUJKnormal"/>
      </w:pPr>
    </w:p>
    <w:p w14:paraId="1F94A5D5" w14:textId="77777777" w:rsidR="00F65AAA" w:rsidRDefault="00F65AAA" w:rsidP="00122B56">
      <w:pPr>
        <w:pStyle w:val="KUJKnormal"/>
      </w:pPr>
    </w:p>
    <w:p w14:paraId="24AAB0AD" w14:textId="77777777" w:rsidR="00F65AAA" w:rsidRPr="007C1EE7" w:rsidRDefault="00F65AAA" w:rsidP="00122B56">
      <w:pPr>
        <w:pStyle w:val="KUJKtucny"/>
      </w:pPr>
      <w:r w:rsidRPr="007C1EE7">
        <w:t>Zodpovídá:</w:t>
      </w:r>
      <w:r>
        <w:t xml:space="preserve"> </w:t>
      </w:r>
      <w:r w:rsidRPr="00F73AB9">
        <w:rPr>
          <w:b w:val="0"/>
          <w:bCs/>
        </w:rPr>
        <w:t>vedoucí OŠMT – Ing. Hana Šímová</w:t>
      </w:r>
    </w:p>
    <w:p w14:paraId="43489D96" w14:textId="77777777" w:rsidR="00F65AAA" w:rsidRDefault="00F65AAA" w:rsidP="00122B56">
      <w:pPr>
        <w:pStyle w:val="KUJKnormal"/>
      </w:pPr>
    </w:p>
    <w:p w14:paraId="53D25AEF" w14:textId="77777777" w:rsidR="00F65AAA" w:rsidRDefault="00F65AAA" w:rsidP="00122B56">
      <w:pPr>
        <w:pStyle w:val="KUJKnormal"/>
      </w:pPr>
      <w:r>
        <w:t>Termín kontroly: 30. 6. 2025</w:t>
      </w:r>
    </w:p>
    <w:p w14:paraId="47F75BB0" w14:textId="77777777" w:rsidR="00F65AAA" w:rsidRDefault="00F65AAA" w:rsidP="00122B56">
      <w:pPr>
        <w:pStyle w:val="KUJKnormal"/>
      </w:pPr>
      <w:r>
        <w:t>Termín splnění: 30. 6. 2025</w:t>
      </w:r>
    </w:p>
    <w:p w14:paraId="7785591C" w14:textId="77777777" w:rsidR="00F65AAA" w:rsidRPr="00BB6565" w:rsidRDefault="00F65AA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6413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6413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77E0" w14:textId="77777777" w:rsidR="00F65AAA" w:rsidRDefault="00F65AAA" w:rsidP="00F65AAA">
    <w:r>
      <w:rPr>
        <w:noProof/>
      </w:rPr>
      <w:pict w14:anchorId="2B1317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D6039E" w14:textId="77777777" w:rsidR="00F65AAA" w:rsidRPr="00D405BE" w:rsidRDefault="00F65AAA" w:rsidP="00F65AA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559493" w14:textId="77777777" w:rsidR="00F65AAA" w:rsidRPr="00D405BE" w:rsidRDefault="00F65AAA" w:rsidP="00F65AA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3CC3F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635F3C7">
        <v:rect id="_x0000_i1026" style="width:481.9pt;height:2pt" o:hralign="center" o:hrstd="t" o:hrnoshade="t" o:hr="t" fillcolor="black" stroked="f"/>
      </w:pict>
    </w:r>
  </w:p>
  <w:p w14:paraId="727531D5" w14:textId="77777777" w:rsidR="00F65AAA" w:rsidRPr="00F65AAA" w:rsidRDefault="00F65AAA" w:rsidP="00F65A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67EB4"/>
    <w:multiLevelType w:val="hybridMultilevel"/>
    <w:tmpl w:val="1278C854"/>
    <w:lvl w:ilvl="0" w:tplc="EC08B8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541866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6535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97C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15A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5D2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5AAA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6822423</vt:i4>
  </property>
  <property fmtid="{D5CDD505-2E9C-101B-9397-08002B2CF9AE}" pid="5" name="UlozitJako">
    <vt:lpwstr>C:\Users\mrazkova\AppData\Local\Temp\iU04529972\Zastupitelstvo\2025-06-19\Navrhy\176-ZK-25.</vt:lpwstr>
  </property>
  <property fmtid="{D5CDD505-2E9C-101B-9397-08002B2CF9AE}" pid="6" name="Zpracovat">
    <vt:bool>false</vt:bool>
  </property>
</Properties>
</file>