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23324" w14:paraId="3EAD10F7" w14:textId="77777777" w:rsidTr="00C92EB3">
        <w:trPr>
          <w:trHeight w:hRule="exact" w:val="397"/>
        </w:trPr>
        <w:tc>
          <w:tcPr>
            <w:tcW w:w="2376" w:type="dxa"/>
            <w:hideMark/>
          </w:tcPr>
          <w:p w14:paraId="062F7AA1" w14:textId="77777777" w:rsidR="00223324" w:rsidRDefault="00223324" w:rsidP="00970720">
            <w:pPr>
              <w:pStyle w:val="KUJKtucny"/>
            </w:pPr>
            <w:r>
              <w:t>Datum jednání:</w:t>
            </w:r>
          </w:p>
        </w:tc>
        <w:tc>
          <w:tcPr>
            <w:tcW w:w="3828" w:type="dxa"/>
            <w:hideMark/>
          </w:tcPr>
          <w:p w14:paraId="6680140E" w14:textId="77777777" w:rsidR="00223324" w:rsidRDefault="00223324" w:rsidP="00970720">
            <w:pPr>
              <w:pStyle w:val="KUJKnormal"/>
            </w:pPr>
            <w:r>
              <w:t>10. 04. 2025</w:t>
            </w:r>
          </w:p>
        </w:tc>
        <w:tc>
          <w:tcPr>
            <w:tcW w:w="2126" w:type="dxa"/>
            <w:hideMark/>
          </w:tcPr>
          <w:p w14:paraId="5A8E454F" w14:textId="77777777" w:rsidR="00223324" w:rsidRDefault="00223324" w:rsidP="00970720">
            <w:pPr>
              <w:pStyle w:val="KUJKtucny"/>
            </w:pPr>
            <w:r>
              <w:t xml:space="preserve">Bod programu: </w:t>
            </w:r>
          </w:p>
        </w:tc>
        <w:tc>
          <w:tcPr>
            <w:tcW w:w="850" w:type="dxa"/>
          </w:tcPr>
          <w:p w14:paraId="1F05DAF1" w14:textId="77777777" w:rsidR="00223324" w:rsidRPr="002463AE" w:rsidRDefault="00223324" w:rsidP="00970720">
            <w:pPr>
              <w:pStyle w:val="KUJKnormal"/>
              <w:rPr>
                <w:sz w:val="28"/>
              </w:rPr>
            </w:pPr>
            <w:r w:rsidRPr="002463AE">
              <w:rPr>
                <w:sz w:val="28"/>
              </w:rPr>
              <w:t>13</w:t>
            </w:r>
          </w:p>
        </w:tc>
      </w:tr>
      <w:tr w:rsidR="00223324" w14:paraId="72230873" w14:textId="77777777" w:rsidTr="00C92EB3">
        <w:trPr>
          <w:cantSplit/>
          <w:trHeight w:hRule="exact" w:val="397"/>
        </w:trPr>
        <w:tc>
          <w:tcPr>
            <w:tcW w:w="2376" w:type="dxa"/>
            <w:hideMark/>
          </w:tcPr>
          <w:p w14:paraId="10709D2A" w14:textId="77777777" w:rsidR="00223324" w:rsidRDefault="00223324" w:rsidP="00970720">
            <w:pPr>
              <w:pStyle w:val="KUJKtucny"/>
            </w:pPr>
            <w:r>
              <w:t>Číslo návrhu:</w:t>
            </w:r>
          </w:p>
        </w:tc>
        <w:tc>
          <w:tcPr>
            <w:tcW w:w="6804" w:type="dxa"/>
            <w:gridSpan w:val="3"/>
            <w:hideMark/>
          </w:tcPr>
          <w:p w14:paraId="4B4A0808" w14:textId="77777777" w:rsidR="00223324" w:rsidRDefault="00223324" w:rsidP="00970720">
            <w:pPr>
              <w:pStyle w:val="KUJKnormal"/>
            </w:pPr>
            <w:r>
              <w:t>97/ZK/25</w:t>
            </w:r>
          </w:p>
        </w:tc>
      </w:tr>
      <w:tr w:rsidR="00223324" w14:paraId="70A1DA7F" w14:textId="77777777" w:rsidTr="00C92EB3">
        <w:trPr>
          <w:trHeight w:val="397"/>
        </w:trPr>
        <w:tc>
          <w:tcPr>
            <w:tcW w:w="2376" w:type="dxa"/>
          </w:tcPr>
          <w:p w14:paraId="4508130C" w14:textId="77777777" w:rsidR="00223324" w:rsidRDefault="00223324" w:rsidP="00970720"/>
          <w:p w14:paraId="61CF8328" w14:textId="77777777" w:rsidR="00223324" w:rsidRDefault="00223324" w:rsidP="00970720">
            <w:pPr>
              <w:pStyle w:val="KUJKtucny"/>
            </w:pPr>
            <w:r>
              <w:t>Název bodu:</w:t>
            </w:r>
          </w:p>
        </w:tc>
        <w:tc>
          <w:tcPr>
            <w:tcW w:w="6804" w:type="dxa"/>
            <w:gridSpan w:val="3"/>
          </w:tcPr>
          <w:p w14:paraId="70E78087" w14:textId="77777777" w:rsidR="00223324" w:rsidRDefault="00223324" w:rsidP="00970720"/>
          <w:p w14:paraId="7C3AA391" w14:textId="77777777" w:rsidR="00223324" w:rsidRDefault="00223324" w:rsidP="00970720">
            <w:pPr>
              <w:pStyle w:val="KUJKtucny"/>
              <w:rPr>
                <w:sz w:val="22"/>
                <w:szCs w:val="22"/>
              </w:rPr>
            </w:pPr>
            <w:r>
              <w:rPr>
                <w:sz w:val="22"/>
                <w:szCs w:val="22"/>
              </w:rPr>
              <w:t>Podněty na pořízení změn územních plánů obcí ve vazbě na plánovanou optimalizaci silnice II/163</w:t>
            </w:r>
          </w:p>
        </w:tc>
      </w:tr>
    </w:tbl>
    <w:p w14:paraId="0C483ED7" w14:textId="77777777" w:rsidR="00223324" w:rsidRDefault="00223324" w:rsidP="00C92EB3">
      <w:pPr>
        <w:pStyle w:val="KUJKnormal"/>
        <w:rPr>
          <w:b/>
          <w:bCs/>
        </w:rPr>
      </w:pPr>
      <w:r>
        <w:rPr>
          <w:b/>
          <w:bCs/>
        </w:rPr>
        <w:pict w14:anchorId="0D4E0C03">
          <v:rect id="_x0000_i1029" style="width:453.6pt;height:1.5pt" o:hralign="center" o:hrstd="t" o:hrnoshade="t" o:hr="t" fillcolor="black" stroked="f"/>
        </w:pict>
      </w:r>
    </w:p>
    <w:p w14:paraId="4A9F6598" w14:textId="77777777" w:rsidR="00223324" w:rsidRDefault="00223324" w:rsidP="00C92EB3">
      <w:pPr>
        <w:pStyle w:val="KUJKnormal"/>
      </w:pPr>
    </w:p>
    <w:p w14:paraId="6009477E" w14:textId="77777777" w:rsidR="00223324" w:rsidRDefault="00223324" w:rsidP="00C92EB3"/>
    <w:tbl>
      <w:tblPr>
        <w:tblW w:w="0" w:type="auto"/>
        <w:tblCellMar>
          <w:left w:w="70" w:type="dxa"/>
          <w:right w:w="70" w:type="dxa"/>
        </w:tblCellMar>
        <w:tblLook w:val="04A0" w:firstRow="1" w:lastRow="0" w:firstColumn="1" w:lastColumn="0" w:noHBand="0" w:noVBand="1"/>
      </w:tblPr>
      <w:tblGrid>
        <w:gridCol w:w="2350"/>
        <w:gridCol w:w="6862"/>
      </w:tblGrid>
      <w:tr w:rsidR="00223324" w14:paraId="52BDB6EA" w14:textId="77777777" w:rsidTr="002559B8">
        <w:trPr>
          <w:trHeight w:val="397"/>
        </w:trPr>
        <w:tc>
          <w:tcPr>
            <w:tcW w:w="2350" w:type="dxa"/>
            <w:hideMark/>
          </w:tcPr>
          <w:p w14:paraId="5F088D5B" w14:textId="77777777" w:rsidR="00223324" w:rsidRDefault="00223324" w:rsidP="002559B8">
            <w:pPr>
              <w:pStyle w:val="KUJKtucny"/>
            </w:pPr>
            <w:r>
              <w:t>Předkladatel:</w:t>
            </w:r>
          </w:p>
        </w:tc>
        <w:tc>
          <w:tcPr>
            <w:tcW w:w="6862" w:type="dxa"/>
          </w:tcPr>
          <w:p w14:paraId="6623BB11" w14:textId="77777777" w:rsidR="00223324" w:rsidRDefault="00223324" w:rsidP="002559B8">
            <w:pPr>
              <w:pStyle w:val="KUJKnormal"/>
            </w:pPr>
            <w:r>
              <w:t>MUDr. Martin Kuba</w:t>
            </w:r>
          </w:p>
          <w:p w14:paraId="03CC614F" w14:textId="77777777" w:rsidR="00223324" w:rsidRDefault="00223324" w:rsidP="002559B8"/>
        </w:tc>
      </w:tr>
      <w:tr w:rsidR="00223324" w14:paraId="1E307671" w14:textId="77777777" w:rsidTr="002559B8">
        <w:trPr>
          <w:trHeight w:val="397"/>
        </w:trPr>
        <w:tc>
          <w:tcPr>
            <w:tcW w:w="2350" w:type="dxa"/>
          </w:tcPr>
          <w:p w14:paraId="531F1715" w14:textId="77777777" w:rsidR="00223324" w:rsidRDefault="00223324" w:rsidP="002559B8">
            <w:pPr>
              <w:pStyle w:val="KUJKtucny"/>
            </w:pPr>
            <w:r>
              <w:t>Zpracoval:</w:t>
            </w:r>
          </w:p>
          <w:p w14:paraId="6AC565EE" w14:textId="77777777" w:rsidR="00223324" w:rsidRDefault="00223324" w:rsidP="002559B8"/>
        </w:tc>
        <w:tc>
          <w:tcPr>
            <w:tcW w:w="6862" w:type="dxa"/>
            <w:hideMark/>
          </w:tcPr>
          <w:p w14:paraId="31E44B7B" w14:textId="77777777" w:rsidR="00223324" w:rsidRDefault="00223324" w:rsidP="002559B8">
            <w:pPr>
              <w:pStyle w:val="KUJKnormal"/>
            </w:pPr>
            <w:r>
              <w:t>OREG</w:t>
            </w:r>
          </w:p>
        </w:tc>
      </w:tr>
      <w:tr w:rsidR="00223324" w14:paraId="28FA0CF8" w14:textId="77777777" w:rsidTr="002559B8">
        <w:trPr>
          <w:trHeight w:val="397"/>
        </w:trPr>
        <w:tc>
          <w:tcPr>
            <w:tcW w:w="2350" w:type="dxa"/>
          </w:tcPr>
          <w:p w14:paraId="443C8ED7" w14:textId="77777777" w:rsidR="00223324" w:rsidRPr="009715F9" w:rsidRDefault="00223324" w:rsidP="002559B8">
            <w:pPr>
              <w:pStyle w:val="KUJKnormal"/>
              <w:rPr>
                <w:b/>
              </w:rPr>
            </w:pPr>
            <w:r w:rsidRPr="009715F9">
              <w:rPr>
                <w:b/>
              </w:rPr>
              <w:t>Vedoucí odboru:</w:t>
            </w:r>
          </w:p>
          <w:p w14:paraId="62409403" w14:textId="77777777" w:rsidR="00223324" w:rsidRDefault="00223324" w:rsidP="002559B8"/>
        </w:tc>
        <w:tc>
          <w:tcPr>
            <w:tcW w:w="6862" w:type="dxa"/>
            <w:hideMark/>
          </w:tcPr>
          <w:p w14:paraId="627B22FC" w14:textId="77777777" w:rsidR="00223324" w:rsidRDefault="00223324" w:rsidP="002559B8">
            <w:pPr>
              <w:pStyle w:val="KUJKnormal"/>
            </w:pPr>
            <w:r>
              <w:t>Ing. arch. Petr Hornát</w:t>
            </w:r>
          </w:p>
        </w:tc>
      </w:tr>
    </w:tbl>
    <w:p w14:paraId="1BD03D65" w14:textId="77777777" w:rsidR="00223324" w:rsidRDefault="00223324" w:rsidP="00C92EB3">
      <w:pPr>
        <w:pStyle w:val="KUJKnormal"/>
      </w:pPr>
    </w:p>
    <w:p w14:paraId="1ED0011E" w14:textId="77777777" w:rsidR="00223324" w:rsidRPr="0052161F" w:rsidRDefault="00223324" w:rsidP="00C92EB3">
      <w:pPr>
        <w:pStyle w:val="KUJKtucny"/>
      </w:pPr>
      <w:r w:rsidRPr="0052161F">
        <w:t>NÁVRH USNESENÍ</w:t>
      </w:r>
    </w:p>
    <w:p w14:paraId="2CC7A2EF" w14:textId="77777777" w:rsidR="00223324" w:rsidRDefault="00223324" w:rsidP="00C92EB3">
      <w:pPr>
        <w:pStyle w:val="KUJKnormal"/>
        <w:rPr>
          <w:rFonts w:ascii="Calibri" w:hAnsi="Calibri" w:cs="Calibri"/>
          <w:sz w:val="12"/>
          <w:szCs w:val="12"/>
        </w:rPr>
      </w:pPr>
      <w:bookmarkStart w:id="0" w:name="US_ZaVeVeci"/>
      <w:bookmarkEnd w:id="0"/>
    </w:p>
    <w:p w14:paraId="01C265CC" w14:textId="77777777" w:rsidR="00223324" w:rsidRPr="00841DFC" w:rsidRDefault="00223324" w:rsidP="00C92EB3">
      <w:pPr>
        <w:pStyle w:val="KUJKPolozka"/>
      </w:pPr>
      <w:r w:rsidRPr="00841DFC">
        <w:t>Zastupitelstvo Jihočeského kraje</w:t>
      </w:r>
    </w:p>
    <w:p w14:paraId="19C7F4B7" w14:textId="77777777" w:rsidR="00223324" w:rsidRDefault="00223324" w:rsidP="002463AE">
      <w:pPr>
        <w:pStyle w:val="KUJKdoplnek2"/>
        <w:ind w:left="357" w:hanging="357"/>
      </w:pPr>
      <w:r w:rsidRPr="00730306">
        <w:t>bere na vědomí</w:t>
      </w:r>
    </w:p>
    <w:p w14:paraId="2703CD67" w14:textId="77777777" w:rsidR="00223324" w:rsidRPr="00570D8A" w:rsidRDefault="00223324" w:rsidP="002463AE">
      <w:pPr>
        <w:pStyle w:val="KUJKnormal"/>
        <w:rPr>
          <w:szCs w:val="19"/>
        </w:rPr>
      </w:pPr>
      <w:r w:rsidRPr="00570D8A">
        <w:rPr>
          <w:szCs w:val="19"/>
        </w:rPr>
        <w:t>podněty na pořízení změn územních plánů obcí ve vazbě na plánovanou optimalizaci silnice II/163;</w:t>
      </w:r>
    </w:p>
    <w:p w14:paraId="57EBA662" w14:textId="77777777" w:rsidR="00223324" w:rsidRPr="00E10FE7" w:rsidRDefault="00223324" w:rsidP="002463AE">
      <w:pPr>
        <w:pStyle w:val="KUJKdoplnek2"/>
      </w:pPr>
      <w:r w:rsidRPr="00AF7BAE">
        <w:t>schvaluje</w:t>
      </w:r>
    </w:p>
    <w:p w14:paraId="065ADFC3" w14:textId="77777777" w:rsidR="00223324" w:rsidRPr="00570D8A" w:rsidRDefault="00223324" w:rsidP="002463AE">
      <w:pPr>
        <w:pStyle w:val="KUJKnormal"/>
        <w:rPr>
          <w:szCs w:val="19"/>
        </w:rPr>
      </w:pPr>
      <w:r w:rsidRPr="00570D8A">
        <w:rPr>
          <w:szCs w:val="19"/>
        </w:rPr>
        <w:t>podání podnětů na pořízení změn územních plánů</w:t>
      </w:r>
      <w:r>
        <w:rPr>
          <w:szCs w:val="19"/>
        </w:rPr>
        <w:t xml:space="preserve"> obcí: </w:t>
      </w:r>
      <w:r w:rsidRPr="00570D8A">
        <w:rPr>
          <w:szCs w:val="19"/>
        </w:rPr>
        <w:t>Loučovice, Vyšší Brod</w:t>
      </w:r>
      <w:r>
        <w:rPr>
          <w:szCs w:val="19"/>
        </w:rPr>
        <w:t xml:space="preserve"> a </w:t>
      </w:r>
      <w:r w:rsidRPr="00570D8A">
        <w:rPr>
          <w:szCs w:val="19"/>
        </w:rPr>
        <w:t>Dolní Dvořiště;</w:t>
      </w:r>
    </w:p>
    <w:p w14:paraId="6746ED5E" w14:textId="77777777" w:rsidR="00223324" w:rsidRDefault="00223324" w:rsidP="00C546A5">
      <w:pPr>
        <w:pStyle w:val="KUJKdoplnek2"/>
      </w:pPr>
      <w:r w:rsidRPr="0021676C">
        <w:t>ukládá</w:t>
      </w:r>
    </w:p>
    <w:p w14:paraId="270D0B76" w14:textId="77777777" w:rsidR="00223324" w:rsidRPr="00231576" w:rsidRDefault="00223324" w:rsidP="002463AE">
      <w:pPr>
        <w:pStyle w:val="KUJKPolozka"/>
        <w:rPr>
          <w:b w:val="0"/>
          <w:szCs w:val="19"/>
        </w:rPr>
      </w:pPr>
      <w:r w:rsidRPr="00231576">
        <w:rPr>
          <w:b w:val="0"/>
          <w:szCs w:val="19"/>
        </w:rPr>
        <w:t xml:space="preserve">MUDr. Martinovi Kubovi, hejtmanovi kraje, zajistit odeslání podnětů na pořízení změn územních plánů dotčeným obcím. </w:t>
      </w:r>
    </w:p>
    <w:p w14:paraId="3A7D7F51" w14:textId="77777777" w:rsidR="00223324" w:rsidRDefault="00223324" w:rsidP="002463AE">
      <w:pPr>
        <w:pStyle w:val="KUJKnormal"/>
      </w:pPr>
      <w:r>
        <w:t>T: 10. 6. 2025</w:t>
      </w:r>
    </w:p>
    <w:p w14:paraId="7B8A0AE8" w14:textId="77777777" w:rsidR="00223324" w:rsidRDefault="00223324" w:rsidP="002463AE">
      <w:pPr>
        <w:pStyle w:val="KUJKnormal"/>
      </w:pPr>
    </w:p>
    <w:p w14:paraId="79D1673B" w14:textId="77777777" w:rsidR="00223324" w:rsidRDefault="00223324" w:rsidP="00190EFB">
      <w:pPr>
        <w:pStyle w:val="KUJKmezeraDZ"/>
      </w:pPr>
      <w:bookmarkStart w:id="1" w:name="US_DuvodZprava"/>
      <w:bookmarkEnd w:id="1"/>
    </w:p>
    <w:p w14:paraId="7172337F" w14:textId="77777777" w:rsidR="00223324" w:rsidRDefault="00223324" w:rsidP="00190EFB">
      <w:pPr>
        <w:pStyle w:val="KUJKnadpisDZ"/>
      </w:pPr>
      <w:r>
        <w:t>DŮVODOVÁ ZPRÁVA</w:t>
      </w:r>
    </w:p>
    <w:p w14:paraId="452E9316" w14:textId="77777777" w:rsidR="00223324" w:rsidRPr="009B7B0B" w:rsidRDefault="00223324" w:rsidP="00190EFB">
      <w:pPr>
        <w:pStyle w:val="KUJKmezeraDZ"/>
      </w:pPr>
    </w:p>
    <w:p w14:paraId="26CD87E3" w14:textId="77777777" w:rsidR="00223324" w:rsidRDefault="00223324" w:rsidP="007B52DA">
      <w:pPr>
        <w:pStyle w:val="KUJKnormal"/>
        <w:spacing w:after="120"/>
      </w:pPr>
      <w:r w:rsidRPr="00231576">
        <w:t>Optimalizace silnice II/163 je navržena v úseku od hráze vodní nádrže Lipno až po křižovatku se silnicí II/160. Dotčeny jsou tak správní území obcí Lipno, Loučovice, Dolní Dvořiště a města Vyšší Brod. Celková délka upravované trasy je cca 10km. Průtahy obcemi nejsou řešeny. V trase je uvažováno s optimalizací směrového a šířkového uspořádání, případně s lokálními úpravami podélného vedení silnice II/163, a to na základě předchozí identifikace dopravně kritických míst z hlediska bezpečnosti dopravy, s ohledem na limity daného území.</w:t>
      </w:r>
    </w:p>
    <w:p w14:paraId="35E2E196" w14:textId="77777777" w:rsidR="00223324" w:rsidRDefault="00223324" w:rsidP="007B52DA">
      <w:pPr>
        <w:pStyle w:val="KUJKnormal"/>
        <w:spacing w:after="120"/>
      </w:pPr>
    </w:p>
    <w:p w14:paraId="5BF51454" w14:textId="77777777" w:rsidR="00223324" w:rsidRPr="00231576" w:rsidRDefault="00223324" w:rsidP="007B52DA">
      <w:pPr>
        <w:pStyle w:val="KUJKnormal"/>
      </w:pPr>
      <w:r w:rsidRPr="00231576">
        <w:t>Záměr je rozdělen na 3 úseky:</w:t>
      </w:r>
    </w:p>
    <w:p w14:paraId="6419B660" w14:textId="77777777" w:rsidR="00223324" w:rsidRPr="00231576" w:rsidRDefault="00223324" w:rsidP="00231576">
      <w:pPr>
        <w:pStyle w:val="KUJKnormal"/>
        <w:numPr>
          <w:ilvl w:val="0"/>
          <w:numId w:val="11"/>
        </w:numPr>
      </w:pPr>
      <w:r w:rsidRPr="00231576">
        <w:t>úsek 1: hráz Lipno – Loučovice,</w:t>
      </w:r>
    </w:p>
    <w:p w14:paraId="4976753D" w14:textId="77777777" w:rsidR="00223324" w:rsidRPr="00231576" w:rsidRDefault="00223324" w:rsidP="00231576">
      <w:pPr>
        <w:pStyle w:val="KUJKnormal"/>
        <w:numPr>
          <w:ilvl w:val="0"/>
          <w:numId w:val="11"/>
        </w:numPr>
      </w:pPr>
      <w:r w:rsidRPr="00231576">
        <w:t>úsek 2: Loučovice – Vyšší Brod,</w:t>
      </w:r>
    </w:p>
    <w:p w14:paraId="607C825F" w14:textId="77777777" w:rsidR="00223324" w:rsidRDefault="00223324" w:rsidP="007B52DA">
      <w:pPr>
        <w:pStyle w:val="KUJKnormal"/>
        <w:numPr>
          <w:ilvl w:val="0"/>
          <w:numId w:val="11"/>
        </w:numPr>
      </w:pPr>
      <w:r w:rsidRPr="00231576">
        <w:t>úsek 3: Vyšší Brod – křižovatka silnic II/160 x II/163.</w:t>
      </w:r>
    </w:p>
    <w:p w14:paraId="23A24EDB" w14:textId="77777777" w:rsidR="00223324" w:rsidRPr="00231576" w:rsidRDefault="00223324" w:rsidP="007B52DA">
      <w:pPr>
        <w:pStyle w:val="KUJKnormal"/>
        <w:ind w:left="720"/>
      </w:pPr>
    </w:p>
    <w:p w14:paraId="24B7E0F5" w14:textId="77777777" w:rsidR="00223324" w:rsidRDefault="00223324" w:rsidP="007B52DA">
      <w:pPr>
        <w:pStyle w:val="KUJKnormal"/>
        <w:spacing w:after="120"/>
      </w:pPr>
      <w:r w:rsidRPr="00231576">
        <w:t xml:space="preserve">Obsahem změn územních plánů bude zejména </w:t>
      </w:r>
      <w:r w:rsidRPr="00231576">
        <w:rPr>
          <w:b/>
          <w:bCs/>
        </w:rPr>
        <w:t xml:space="preserve">vymezení koridoru, který umožní optimalizaci silnice II/163 </w:t>
      </w:r>
      <w:r w:rsidRPr="00231576">
        <w:t>ve správním území obce Loučovice, města Vyšší Brod a obce Dolní Dvořiště v rozsahu dle situace v příloze.</w:t>
      </w:r>
      <w:r w:rsidRPr="00231576">
        <w:rPr>
          <w:b/>
          <w:bCs/>
        </w:rPr>
        <w:t xml:space="preserve"> </w:t>
      </w:r>
      <w:r w:rsidRPr="00231576">
        <w:t xml:space="preserve">Koridor pro optimalizaci silnice II/163 bude navržen </w:t>
      </w:r>
      <w:r w:rsidRPr="00231576">
        <w:rPr>
          <w:u w:val="single"/>
        </w:rPr>
        <w:t>s překryvnou funkcí jako veřejně prospěšná stavba</w:t>
      </w:r>
      <w:r w:rsidRPr="00231576">
        <w:t>.</w:t>
      </w:r>
    </w:p>
    <w:p w14:paraId="3D3DCFBA" w14:textId="77777777" w:rsidR="00223324" w:rsidRPr="00231576" w:rsidRDefault="00223324" w:rsidP="007B52DA">
      <w:pPr>
        <w:pStyle w:val="KUJKnormal"/>
        <w:spacing w:after="120"/>
        <w:rPr>
          <w:b/>
          <w:bCs/>
        </w:rPr>
      </w:pPr>
    </w:p>
    <w:p w14:paraId="0756D94E" w14:textId="77777777" w:rsidR="00223324" w:rsidRPr="00231576" w:rsidRDefault="00223324" w:rsidP="007B52DA">
      <w:pPr>
        <w:pStyle w:val="KUJKnormal"/>
        <w:spacing w:after="120"/>
      </w:pPr>
      <w:r w:rsidRPr="00231576">
        <w:t xml:space="preserve">Podkladem pro vymezení tohoto koridoru je „Studie optimalizace silnice II/163 v úseku od hráze vodní nádrže Lipno po křižovatku se silnicí II/160“, zhotovitel: AKIPROJEKT s.r.o., hlavní inženýr: Ing. Martin Jáchym, datováno: červen 2022. </w:t>
      </w:r>
    </w:p>
    <w:p w14:paraId="29DB4ACC" w14:textId="77777777" w:rsidR="00223324" w:rsidRDefault="00223324" w:rsidP="007B52DA">
      <w:pPr>
        <w:pStyle w:val="KUJKnormal"/>
        <w:spacing w:after="120"/>
      </w:pPr>
      <w:r w:rsidRPr="00231576">
        <w:t xml:space="preserve">Podněty na pořízení změn územních plánů dotčených obcí by v tomto konkrétním případě podával </w:t>
      </w:r>
      <w:r w:rsidRPr="00231576">
        <w:rPr>
          <w:u w:val="single"/>
        </w:rPr>
        <w:t>Jihočeský kraj jako oprávněný investor</w:t>
      </w:r>
      <w:r w:rsidRPr="00231576">
        <w:t xml:space="preserve"> v souladu s § 109 odst. 1 písm. a) zákona č. 283/2021 Sb., stavební zákon, ve znění pozdějších předpisů (dále jen „stavební zákon“).</w:t>
      </w:r>
    </w:p>
    <w:p w14:paraId="5CD13632" w14:textId="77777777" w:rsidR="00223324" w:rsidRPr="00231576" w:rsidRDefault="00223324" w:rsidP="007B52DA">
      <w:pPr>
        <w:pStyle w:val="KUJKnormal"/>
        <w:spacing w:after="120"/>
      </w:pPr>
    </w:p>
    <w:p w14:paraId="6118FDF2" w14:textId="77777777" w:rsidR="00223324" w:rsidRDefault="00223324" w:rsidP="007B52DA">
      <w:pPr>
        <w:pStyle w:val="KUJKnormal"/>
        <w:spacing w:after="120"/>
      </w:pPr>
      <w:r w:rsidRPr="00231576">
        <w:t xml:space="preserve">Pořizovatelem je ze zákona úřad územního plánování na základě žádosti příslušné obce ve svém obvodu, případně obecní úřad, který zajistí splnění kvalifikačních požadavků pro výkon územně plánovací činnosti, nejčastěji prostřednictvím tzv. zástupce pořizovatele. Z důvodu urychlení pořízení předmětných změn územních plánů a jejich vzájemné koordinace je dle názoru OREG vhodnější varianta druhá. </w:t>
      </w:r>
      <w:r w:rsidRPr="00231576">
        <w:rPr>
          <w:u w:val="single"/>
        </w:rPr>
        <w:t>Náklady na pořízení změn územních plánů by v tomto případě nesl Jihočeský kraj</w:t>
      </w:r>
      <w:r w:rsidRPr="00231576">
        <w:t xml:space="preserve">. </w:t>
      </w:r>
    </w:p>
    <w:p w14:paraId="16D30854" w14:textId="77777777" w:rsidR="00223324" w:rsidRPr="00231576" w:rsidRDefault="00223324" w:rsidP="007B52DA">
      <w:pPr>
        <w:pStyle w:val="KUJKnormal"/>
        <w:spacing w:after="120"/>
      </w:pPr>
    </w:p>
    <w:p w14:paraId="38F34912" w14:textId="77777777" w:rsidR="00223324" w:rsidRDefault="00223324" w:rsidP="007B52DA">
      <w:pPr>
        <w:pStyle w:val="KUJKnormal"/>
        <w:spacing w:after="120"/>
        <w:rPr>
          <w:u w:val="single"/>
        </w:rPr>
      </w:pPr>
      <w:r w:rsidRPr="00231576">
        <w:t xml:space="preserve">Každá změna územního plánu musí být zpracována projektantem. </w:t>
      </w:r>
      <w:r w:rsidRPr="00231576">
        <w:rPr>
          <w:u w:val="single"/>
        </w:rPr>
        <w:t>Náklady na projektanta ponese Jihočeský kraj.</w:t>
      </w:r>
    </w:p>
    <w:p w14:paraId="6847071C" w14:textId="77777777" w:rsidR="00223324" w:rsidRPr="00231576" w:rsidRDefault="00223324" w:rsidP="007B52DA">
      <w:pPr>
        <w:pStyle w:val="KUJKnormal"/>
        <w:spacing w:after="120"/>
      </w:pPr>
    </w:p>
    <w:p w14:paraId="07E8B9A2" w14:textId="77777777" w:rsidR="00223324" w:rsidRPr="00231576" w:rsidRDefault="00223324" w:rsidP="007B52DA">
      <w:pPr>
        <w:pStyle w:val="KUJKnormal"/>
        <w:spacing w:after="120"/>
        <w:rPr>
          <w:u w:val="single"/>
        </w:rPr>
      </w:pPr>
      <w:r w:rsidRPr="00231576">
        <w:t xml:space="preserve">O pořízení změny územního plánu </w:t>
      </w:r>
      <w:r w:rsidRPr="00231576">
        <w:rPr>
          <w:u w:val="single"/>
        </w:rPr>
        <w:t>rozhoduje dle § 27 odst. 1 ve vazbě na § 111 stavebního zákona vždy zastupitelstvo příslušné obce.</w:t>
      </w:r>
      <w:r w:rsidRPr="00231576">
        <w:t xml:space="preserve"> </w:t>
      </w:r>
    </w:p>
    <w:p w14:paraId="06262404" w14:textId="77777777" w:rsidR="00223324" w:rsidRPr="002463AE" w:rsidRDefault="00223324" w:rsidP="002463AE">
      <w:pPr>
        <w:pStyle w:val="KUJKnormal"/>
      </w:pPr>
    </w:p>
    <w:p w14:paraId="00406EB8" w14:textId="77777777" w:rsidR="00223324" w:rsidRDefault="00223324" w:rsidP="00C92EB3">
      <w:pPr>
        <w:pStyle w:val="KUJKnormal"/>
      </w:pPr>
    </w:p>
    <w:p w14:paraId="42E44456" w14:textId="77777777" w:rsidR="00223324" w:rsidRDefault="00223324" w:rsidP="00C92EB3">
      <w:pPr>
        <w:pStyle w:val="KUJKnormal"/>
      </w:pPr>
      <w:r>
        <w:t xml:space="preserve">Finanční nároky a krytí: </w:t>
      </w:r>
      <w:r w:rsidRPr="00570D8A">
        <w:rPr>
          <w:szCs w:val="19"/>
        </w:rPr>
        <w:t>Financování je zajištěno z rozpočtu OREG 2025 (par. 3635, pol. 5166, ORJ 651).</w:t>
      </w:r>
    </w:p>
    <w:p w14:paraId="4A1E79A0" w14:textId="77777777" w:rsidR="00223324" w:rsidRDefault="00223324" w:rsidP="00C92EB3">
      <w:pPr>
        <w:pStyle w:val="KUJKnormal"/>
      </w:pPr>
    </w:p>
    <w:p w14:paraId="0E2CC3F2" w14:textId="77777777" w:rsidR="00223324" w:rsidRDefault="00223324" w:rsidP="00C92EB3">
      <w:pPr>
        <w:pStyle w:val="KUJKnormal"/>
      </w:pPr>
    </w:p>
    <w:p w14:paraId="6665E611" w14:textId="77777777" w:rsidR="00223324" w:rsidRDefault="00223324" w:rsidP="008F4253">
      <w:pPr>
        <w:pStyle w:val="KUJKnormal"/>
      </w:pPr>
      <w:r>
        <w:t>Vyjádření správce rozpočtu: Bc. Monika Wolfová (OEKO):</w:t>
      </w:r>
      <w:r w:rsidRPr="007666AA">
        <w:t xml:space="preserve"> </w:t>
      </w:r>
      <w:r>
        <w:t>Souhlasím</w:t>
      </w:r>
      <w:r w:rsidRPr="007666AA">
        <w:t xml:space="preserve"> – v</w:t>
      </w:r>
      <w:r>
        <w:t xml:space="preserve"> rozpočtu OREG je alokováno na změny ÚP obcí z podnětu JčK celkem 5 242 000 Kč.</w:t>
      </w:r>
    </w:p>
    <w:p w14:paraId="6E37FB21" w14:textId="77777777" w:rsidR="00223324" w:rsidRDefault="00223324" w:rsidP="00C92EB3">
      <w:pPr>
        <w:pStyle w:val="KUJKnormal"/>
      </w:pPr>
    </w:p>
    <w:p w14:paraId="74AA22D6" w14:textId="77777777" w:rsidR="00223324" w:rsidRDefault="00223324" w:rsidP="00C92EB3">
      <w:pPr>
        <w:pStyle w:val="KUJKnormal"/>
      </w:pPr>
    </w:p>
    <w:p w14:paraId="3E0763B4" w14:textId="77777777" w:rsidR="00223324" w:rsidRDefault="00223324" w:rsidP="00C92EB3">
      <w:pPr>
        <w:pStyle w:val="KUJKnormal"/>
      </w:pPr>
      <w:r>
        <w:t xml:space="preserve">Návrh projednán (stanoviska): </w:t>
      </w:r>
      <w:r w:rsidRPr="00231576">
        <w:t xml:space="preserve">Návrh projednán v Radě Jihočeského kraje, rada usnesením </w:t>
      </w:r>
      <w:r>
        <w:t>338</w:t>
      </w:r>
      <w:r w:rsidRPr="00231576">
        <w:t>/202</w:t>
      </w:r>
      <w:r>
        <w:t>5</w:t>
      </w:r>
      <w:r w:rsidRPr="00231576">
        <w:t>/RK-</w:t>
      </w:r>
      <w:r>
        <w:t>10</w:t>
      </w:r>
      <w:r w:rsidRPr="00231576">
        <w:t xml:space="preserve"> ze dne </w:t>
      </w:r>
      <w:r>
        <w:t>27</w:t>
      </w:r>
      <w:r w:rsidRPr="00231576">
        <w:t xml:space="preserve">. </w:t>
      </w:r>
      <w:r>
        <w:t xml:space="preserve">března </w:t>
      </w:r>
      <w:r w:rsidRPr="00231576">
        <w:t>202</w:t>
      </w:r>
      <w:r>
        <w:t>5</w:t>
      </w:r>
      <w:r w:rsidRPr="00231576">
        <w:t xml:space="preserve"> doporučila zastupitelstvu kraje schválit podání podnětů na pořízení změn územních plánů obcí: Loučovice, Vyšší Brod a Dolní Dvořiště</w:t>
      </w:r>
      <w:r>
        <w:t>.</w:t>
      </w:r>
    </w:p>
    <w:p w14:paraId="3C88C2E3" w14:textId="77777777" w:rsidR="00223324" w:rsidRDefault="00223324" w:rsidP="00C92EB3">
      <w:pPr>
        <w:pStyle w:val="KUJKnormal"/>
      </w:pPr>
    </w:p>
    <w:p w14:paraId="65A957C7" w14:textId="77777777" w:rsidR="00223324" w:rsidRDefault="00223324" w:rsidP="00C92EB3">
      <w:pPr>
        <w:pStyle w:val="KUJKnormal"/>
      </w:pPr>
    </w:p>
    <w:p w14:paraId="2C995AEA" w14:textId="77777777" w:rsidR="00223324" w:rsidRPr="007939A8" w:rsidRDefault="00223324" w:rsidP="00C92EB3">
      <w:pPr>
        <w:pStyle w:val="KUJKtucny"/>
      </w:pPr>
      <w:r w:rsidRPr="007939A8">
        <w:t>PŘÍLOHY:</w:t>
      </w:r>
    </w:p>
    <w:p w14:paraId="124192E2" w14:textId="77777777" w:rsidR="00223324" w:rsidRPr="00231576" w:rsidRDefault="00223324" w:rsidP="00231576">
      <w:pPr>
        <w:pStyle w:val="KUJKnormal"/>
        <w:numPr>
          <w:ilvl w:val="0"/>
          <w:numId w:val="12"/>
        </w:numPr>
      </w:pPr>
      <w:r w:rsidRPr="00231576">
        <w:t xml:space="preserve">Podnět na pořízení změny územního plánu Loučovice, včetně návrhu zadání </w:t>
      </w:r>
    </w:p>
    <w:p w14:paraId="78ACB3B3" w14:textId="77777777" w:rsidR="00223324" w:rsidRPr="00231576" w:rsidRDefault="00223324" w:rsidP="00231576">
      <w:pPr>
        <w:pStyle w:val="KUJKnormal"/>
        <w:numPr>
          <w:ilvl w:val="0"/>
          <w:numId w:val="12"/>
        </w:numPr>
      </w:pPr>
      <w:r w:rsidRPr="00231576">
        <w:t xml:space="preserve">Podnět na pořízení změny územního plánu Vyšší Brod, včetně návrhu zadání </w:t>
      </w:r>
    </w:p>
    <w:p w14:paraId="1476E4CC" w14:textId="77777777" w:rsidR="00223324" w:rsidRPr="00231576" w:rsidRDefault="00223324" w:rsidP="00231576">
      <w:pPr>
        <w:pStyle w:val="KUJKnormal"/>
        <w:numPr>
          <w:ilvl w:val="0"/>
          <w:numId w:val="12"/>
        </w:numPr>
      </w:pPr>
      <w:r w:rsidRPr="00231576">
        <w:t xml:space="preserve">Podnět na pořízení změny územního plánu Dolní Dvořiště, včetně návrhu zadání </w:t>
      </w:r>
    </w:p>
    <w:p w14:paraId="303428DF" w14:textId="77777777" w:rsidR="00223324" w:rsidRPr="00231576" w:rsidRDefault="00223324" w:rsidP="00231576">
      <w:pPr>
        <w:pStyle w:val="KUJKnormal"/>
        <w:numPr>
          <w:ilvl w:val="0"/>
          <w:numId w:val="12"/>
        </w:numPr>
      </w:pPr>
      <w:r w:rsidRPr="00231576">
        <w:t xml:space="preserve">Stanovisko AOPK a stanoviska krajského úřadu, OZZL k navrhovaným obsahům změn územních plánů </w:t>
      </w:r>
    </w:p>
    <w:p w14:paraId="5C10C6C8" w14:textId="77777777" w:rsidR="00223324" w:rsidRPr="00231576" w:rsidRDefault="00223324" w:rsidP="00231576">
      <w:pPr>
        <w:pStyle w:val="KUJKnormal"/>
        <w:numPr>
          <w:ilvl w:val="0"/>
          <w:numId w:val="12"/>
        </w:numPr>
      </w:pPr>
      <w:r w:rsidRPr="00231576">
        <w:t>Situace optimalizace silnice II/163 nad ortofotomapou – úsek 1, 2, 3 (elektronicky)</w:t>
      </w:r>
    </w:p>
    <w:p w14:paraId="0AA6C359" w14:textId="77777777" w:rsidR="00223324" w:rsidRDefault="00223324" w:rsidP="00C92EB3">
      <w:pPr>
        <w:pStyle w:val="KUJKnormal"/>
      </w:pPr>
    </w:p>
    <w:p w14:paraId="3AA0D4E5" w14:textId="77777777" w:rsidR="00223324" w:rsidRDefault="00223324" w:rsidP="00C92EB3">
      <w:pPr>
        <w:pStyle w:val="KUJKnormal"/>
      </w:pPr>
    </w:p>
    <w:p w14:paraId="47142B6F" w14:textId="77777777" w:rsidR="00223324" w:rsidRPr="007C1EE7" w:rsidRDefault="00223324" w:rsidP="00C92EB3">
      <w:pPr>
        <w:pStyle w:val="KUJKtucny"/>
      </w:pPr>
      <w:r w:rsidRPr="007C1EE7">
        <w:t>Zodpovídá:</w:t>
      </w:r>
      <w:r>
        <w:t xml:space="preserve"> </w:t>
      </w:r>
      <w:r w:rsidRPr="00231576">
        <w:t>Ing. arch. Petr Hornát, vedoucí OREG</w:t>
      </w:r>
    </w:p>
    <w:p w14:paraId="6BD31DC9" w14:textId="77777777" w:rsidR="00223324" w:rsidRDefault="00223324" w:rsidP="00C92EB3">
      <w:pPr>
        <w:pStyle w:val="KUJKnormal"/>
      </w:pPr>
    </w:p>
    <w:p w14:paraId="1D2A8768" w14:textId="77777777" w:rsidR="00223324" w:rsidRDefault="00223324" w:rsidP="00C92EB3">
      <w:pPr>
        <w:pStyle w:val="KUJKnormal"/>
      </w:pPr>
      <w:r>
        <w:t>Termín kontroly: 17. 6. 2025</w:t>
      </w:r>
    </w:p>
    <w:p w14:paraId="03995D1A" w14:textId="77777777" w:rsidR="00223324" w:rsidRDefault="00223324" w:rsidP="00C92EB3">
      <w:pPr>
        <w:pStyle w:val="KUJKnormal"/>
      </w:pPr>
      <w:r>
        <w:t>Termín splnění: 10. 6. 2025</w:t>
      </w:r>
    </w:p>
    <w:p w14:paraId="2D956A64" w14:textId="77777777" w:rsidR="00223324" w:rsidRPr="0051330A" w:rsidRDefault="00223324"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B41D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B41D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C9E2" w14:textId="77777777" w:rsidR="00223324" w:rsidRDefault="00223324" w:rsidP="00223324">
    <w:r>
      <w:rPr>
        <w:noProof/>
      </w:rPr>
      <w:pict w14:anchorId="6327BA0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90EB262" w14:textId="77777777" w:rsidR="00223324" w:rsidRPr="00D405BE" w:rsidRDefault="00223324" w:rsidP="00223324">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13DE1EB0" w14:textId="77777777" w:rsidR="00223324" w:rsidRPr="00D405BE" w:rsidRDefault="00223324" w:rsidP="00223324">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6BA8372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F591F33">
        <v:rect id="_x0000_i1026" style="width:481.9pt;height:2pt" o:hralign="center" o:hrstd="t" o:hrnoshade="t" o:hr="t" fillcolor="black" stroked="f"/>
      </w:pict>
    </w:r>
  </w:p>
  <w:p w14:paraId="18B22226" w14:textId="77777777" w:rsidR="00223324" w:rsidRPr="00223324" w:rsidRDefault="00223324" w:rsidP="002233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9320C"/>
    <w:multiLevelType w:val="hybridMultilevel"/>
    <w:tmpl w:val="5D2241DC"/>
    <w:lvl w:ilvl="0" w:tplc="6DFAA0C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12E03"/>
    <w:multiLevelType w:val="hybridMultilevel"/>
    <w:tmpl w:val="C96E1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1514299145">
    <w:abstractNumId w:val="1"/>
  </w:num>
  <w:num w:numId="12" w16cid:durableId="1398741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324"/>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2F0E"/>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0B9"/>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C715B"/>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2025-04-11T11:21:00Z</dcterms:created>
  <dcterms:modified xsi:type="dcterms:W3CDTF">2025-04-11T11:21:00Z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6776180</vt:i4>
  </property>
  <property fmtid="{D5CDD505-2E9C-101B-9397-08002B2CF9AE}" pid="5" name="UlozitJako">
    <vt:lpwstr>C:\Users\mrazkova\AppData\Local\Temp\iU17860052\Zastupitelstvo\2025-04-10\Navrhy\97-ZK-25.</vt:lpwstr>
  </property>
  <property fmtid="{D5CDD505-2E9C-101B-9397-08002B2CF9AE}" pid="6" name="Zpracovat">
    <vt:bool>false</vt:bool>
  </property>
</Properties>
</file>