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A11" w14:paraId="034C8F9E" w14:textId="77777777" w:rsidTr="005B4BF2">
        <w:trPr>
          <w:trHeight w:hRule="exact" w:val="397"/>
        </w:trPr>
        <w:tc>
          <w:tcPr>
            <w:tcW w:w="2376" w:type="dxa"/>
            <w:hideMark/>
          </w:tcPr>
          <w:p w14:paraId="5E9FE4D5" w14:textId="77777777" w:rsidR="00567A11" w:rsidRDefault="00567A1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1AA73B" w14:textId="77777777" w:rsidR="00567A11" w:rsidRDefault="00567A11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148E52D6" w14:textId="77777777" w:rsidR="00567A11" w:rsidRDefault="00567A11" w:rsidP="00970720">
            <w:pPr>
              <w:pStyle w:val="KUJKtucny"/>
            </w:pPr>
            <w:r>
              <w:t xml:space="preserve">Bod programu: </w:t>
            </w:r>
            <w:r w:rsidRPr="005C11F1">
              <w:rPr>
                <w:sz w:val="28"/>
              </w:rPr>
              <w:t>4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330C8B66" w14:textId="77777777" w:rsidR="00567A11" w:rsidRDefault="00567A11" w:rsidP="00970720">
            <w:pPr>
              <w:pStyle w:val="KUJKnormal"/>
            </w:pPr>
          </w:p>
        </w:tc>
      </w:tr>
      <w:tr w:rsidR="00567A11" w14:paraId="4C29F29A" w14:textId="77777777" w:rsidTr="005B4BF2">
        <w:trPr>
          <w:cantSplit/>
          <w:trHeight w:hRule="exact" w:val="397"/>
        </w:trPr>
        <w:tc>
          <w:tcPr>
            <w:tcW w:w="2376" w:type="dxa"/>
            <w:hideMark/>
          </w:tcPr>
          <w:p w14:paraId="2B2E3F6C" w14:textId="77777777" w:rsidR="00567A11" w:rsidRDefault="00567A1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43CD5B" w14:textId="77777777" w:rsidR="00567A11" w:rsidRDefault="00567A11" w:rsidP="00970720">
            <w:pPr>
              <w:pStyle w:val="KUJKnormal"/>
            </w:pPr>
            <w:r>
              <w:t>92/ZK/25</w:t>
            </w:r>
          </w:p>
        </w:tc>
      </w:tr>
      <w:tr w:rsidR="00567A11" w14:paraId="49B1EA4C" w14:textId="77777777" w:rsidTr="005B4BF2">
        <w:trPr>
          <w:trHeight w:val="397"/>
        </w:trPr>
        <w:tc>
          <w:tcPr>
            <w:tcW w:w="2376" w:type="dxa"/>
          </w:tcPr>
          <w:p w14:paraId="004CCFEC" w14:textId="77777777" w:rsidR="00567A11" w:rsidRDefault="00567A11" w:rsidP="00970720"/>
          <w:p w14:paraId="1DD13946" w14:textId="77777777" w:rsidR="00567A11" w:rsidRDefault="00567A1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8EF02B" w14:textId="77777777" w:rsidR="00567A11" w:rsidRDefault="00567A11" w:rsidP="00970720"/>
          <w:p w14:paraId="4CA0A39F" w14:textId="77777777" w:rsidR="00567A11" w:rsidRDefault="00567A1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za rok 2024</w:t>
            </w:r>
          </w:p>
        </w:tc>
      </w:tr>
    </w:tbl>
    <w:p w14:paraId="49762FCA" w14:textId="77777777" w:rsidR="00567A11" w:rsidRDefault="00567A11" w:rsidP="005B4BF2">
      <w:pPr>
        <w:pStyle w:val="KUJKnormal"/>
        <w:rPr>
          <w:b/>
          <w:bCs/>
        </w:rPr>
      </w:pPr>
      <w:r>
        <w:rPr>
          <w:b/>
          <w:bCs/>
        </w:rPr>
        <w:pict w14:anchorId="75A25D7D">
          <v:rect id="_x0000_i1027" style="width:453.6pt;height:1.5pt" o:hralign="center" o:hrstd="t" o:hrnoshade="t" o:hr="t" fillcolor="black" stroked="f"/>
        </w:pict>
      </w:r>
    </w:p>
    <w:p w14:paraId="56142B7A" w14:textId="77777777" w:rsidR="00567A11" w:rsidRDefault="00567A11" w:rsidP="005B4BF2">
      <w:pPr>
        <w:pStyle w:val="KUJKnormal"/>
      </w:pPr>
    </w:p>
    <w:p w14:paraId="5ED4D204" w14:textId="77777777" w:rsidR="00567A11" w:rsidRDefault="00567A11" w:rsidP="005B4BF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A11" w14:paraId="0ABACA33" w14:textId="77777777" w:rsidTr="002559B8">
        <w:trPr>
          <w:trHeight w:val="397"/>
        </w:trPr>
        <w:tc>
          <w:tcPr>
            <w:tcW w:w="2350" w:type="dxa"/>
            <w:hideMark/>
          </w:tcPr>
          <w:p w14:paraId="2589D678" w14:textId="77777777" w:rsidR="00567A11" w:rsidRDefault="00567A1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F58C77" w14:textId="77777777" w:rsidR="00567A11" w:rsidRDefault="00567A11" w:rsidP="002559B8">
            <w:pPr>
              <w:pStyle w:val="KUJKnormal"/>
            </w:pPr>
            <w:r>
              <w:t>Ing. Tomáš Hajdušek</w:t>
            </w:r>
          </w:p>
          <w:p w14:paraId="6E1A8705" w14:textId="77777777" w:rsidR="00567A11" w:rsidRDefault="00567A11" w:rsidP="002559B8"/>
        </w:tc>
      </w:tr>
      <w:tr w:rsidR="00567A11" w14:paraId="1CB9CFCC" w14:textId="77777777" w:rsidTr="002559B8">
        <w:trPr>
          <w:trHeight w:val="397"/>
        </w:trPr>
        <w:tc>
          <w:tcPr>
            <w:tcW w:w="2350" w:type="dxa"/>
          </w:tcPr>
          <w:p w14:paraId="3AEBB1E9" w14:textId="77777777" w:rsidR="00567A11" w:rsidRDefault="00567A11" w:rsidP="002559B8">
            <w:pPr>
              <w:pStyle w:val="KUJKtucny"/>
            </w:pPr>
            <w:r>
              <w:t>Zpracoval:</w:t>
            </w:r>
          </w:p>
          <w:p w14:paraId="7F151800" w14:textId="77777777" w:rsidR="00567A11" w:rsidRDefault="00567A11" w:rsidP="002559B8"/>
        </w:tc>
        <w:tc>
          <w:tcPr>
            <w:tcW w:w="6862" w:type="dxa"/>
            <w:hideMark/>
          </w:tcPr>
          <w:p w14:paraId="6746A877" w14:textId="77777777" w:rsidR="00567A11" w:rsidRDefault="00567A11" w:rsidP="002559B8">
            <w:pPr>
              <w:pStyle w:val="KUJKnormal"/>
            </w:pPr>
            <w:r>
              <w:t>OEKO</w:t>
            </w:r>
          </w:p>
        </w:tc>
      </w:tr>
      <w:tr w:rsidR="00567A11" w14:paraId="7330A229" w14:textId="77777777" w:rsidTr="002559B8">
        <w:trPr>
          <w:trHeight w:val="397"/>
        </w:trPr>
        <w:tc>
          <w:tcPr>
            <w:tcW w:w="2350" w:type="dxa"/>
          </w:tcPr>
          <w:p w14:paraId="1F659489" w14:textId="77777777" w:rsidR="00567A11" w:rsidRPr="009715F9" w:rsidRDefault="00567A1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0013EE" w14:textId="77777777" w:rsidR="00567A11" w:rsidRDefault="00567A11" w:rsidP="002559B8"/>
        </w:tc>
        <w:tc>
          <w:tcPr>
            <w:tcW w:w="6862" w:type="dxa"/>
            <w:hideMark/>
          </w:tcPr>
          <w:p w14:paraId="790941DD" w14:textId="77777777" w:rsidR="00567A11" w:rsidRDefault="00567A11" w:rsidP="002559B8">
            <w:pPr>
              <w:pStyle w:val="KUJKnormal"/>
            </w:pPr>
            <w:r>
              <w:t>Ing. Ladislav Staněk</w:t>
            </w:r>
          </w:p>
        </w:tc>
      </w:tr>
    </w:tbl>
    <w:p w14:paraId="2BC9E7DF" w14:textId="77777777" w:rsidR="00567A11" w:rsidRDefault="00567A11" w:rsidP="005B4BF2">
      <w:pPr>
        <w:pStyle w:val="KUJKnormal"/>
      </w:pPr>
    </w:p>
    <w:p w14:paraId="7BD11BEB" w14:textId="77777777" w:rsidR="00567A11" w:rsidRPr="0052161F" w:rsidRDefault="00567A11" w:rsidP="005B4BF2">
      <w:pPr>
        <w:pStyle w:val="KUJKtucny"/>
      </w:pPr>
      <w:r w:rsidRPr="0052161F">
        <w:t>NÁVRH USNESENÍ</w:t>
      </w:r>
    </w:p>
    <w:p w14:paraId="2028F245" w14:textId="77777777" w:rsidR="00567A11" w:rsidRDefault="00567A11" w:rsidP="005B4BF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DE30A1F" w14:textId="77777777" w:rsidR="00567A11" w:rsidRPr="00841DFC" w:rsidRDefault="00567A11" w:rsidP="005B4BF2">
      <w:pPr>
        <w:pStyle w:val="KUJKPolozka"/>
      </w:pPr>
      <w:r w:rsidRPr="00841DFC">
        <w:t>Zastupitelstvo Jihočeského kraje</w:t>
      </w:r>
    </w:p>
    <w:p w14:paraId="6A0824EB" w14:textId="77777777" w:rsidR="00567A11" w:rsidRDefault="00567A11" w:rsidP="006B3AA4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57D4D85" w14:textId="77777777" w:rsidR="00567A11" w:rsidRPr="006B3AA4" w:rsidRDefault="00567A11" w:rsidP="00567A11">
      <w:pPr>
        <w:pStyle w:val="KUJKnormal"/>
        <w:numPr>
          <w:ilvl w:val="0"/>
          <w:numId w:val="11"/>
        </w:numPr>
        <w:rPr>
          <w:bCs/>
          <w:vanish/>
        </w:rPr>
      </w:pPr>
      <w:r w:rsidRPr="006B3AA4">
        <w:rPr>
          <w:bCs/>
        </w:rPr>
        <w:t>informaci o plnění rozpočtu Jihočeského kraje za rok 202</w:t>
      </w:r>
      <w:r>
        <w:rPr>
          <w:bCs/>
        </w:rPr>
        <w:t>4</w:t>
      </w:r>
      <w:r w:rsidRPr="006B3AA4">
        <w:rPr>
          <w:bCs/>
        </w:rPr>
        <w:t xml:space="preserve"> dle důvodové zprávy a příloh návrhu č. </w:t>
      </w:r>
      <w:r>
        <w:rPr>
          <w:bCs/>
        </w:rPr>
        <w:t>92</w:t>
      </w:r>
      <w:r w:rsidRPr="006B3AA4">
        <w:rPr>
          <w:bCs/>
        </w:rPr>
        <w:t>/ZK/2</w:t>
      </w:r>
      <w:r>
        <w:rPr>
          <w:bCs/>
        </w:rPr>
        <w:t>5</w:t>
      </w:r>
      <w:r w:rsidRPr="006B3AA4">
        <w:rPr>
          <w:bCs/>
        </w:rPr>
        <w:t>.</w:t>
      </w:r>
    </w:p>
    <w:p w14:paraId="4313D4B6" w14:textId="77777777" w:rsidR="00567A11" w:rsidRPr="006B3AA4" w:rsidRDefault="00567A11" w:rsidP="006B3AA4">
      <w:pPr>
        <w:pStyle w:val="KUJKnormal"/>
        <w:rPr>
          <w:bCs/>
        </w:rPr>
      </w:pPr>
    </w:p>
    <w:p w14:paraId="6AD42B72" w14:textId="77777777" w:rsidR="00567A11" w:rsidRDefault="00567A11" w:rsidP="005B4BF2">
      <w:pPr>
        <w:pStyle w:val="KUJKnormal"/>
      </w:pPr>
    </w:p>
    <w:p w14:paraId="6893B2BE" w14:textId="77777777" w:rsidR="00567A11" w:rsidRDefault="00567A11" w:rsidP="005B4BF2">
      <w:pPr>
        <w:pStyle w:val="KUJKnormal"/>
      </w:pPr>
    </w:p>
    <w:p w14:paraId="053D0675" w14:textId="77777777" w:rsidR="00567A11" w:rsidRDefault="00567A11" w:rsidP="006B3AA4">
      <w:pPr>
        <w:pStyle w:val="KUJKmezeraDZ"/>
      </w:pPr>
      <w:bookmarkStart w:id="1" w:name="US_DuvodZprava"/>
      <w:bookmarkEnd w:id="1"/>
    </w:p>
    <w:p w14:paraId="112D6B68" w14:textId="77777777" w:rsidR="00567A11" w:rsidRDefault="00567A11" w:rsidP="006B3AA4">
      <w:pPr>
        <w:pStyle w:val="KUJKnadpisDZ"/>
      </w:pPr>
      <w:r>
        <w:t>DŮVODOVÁ ZPRÁVA</w:t>
      </w:r>
    </w:p>
    <w:p w14:paraId="167E3167" w14:textId="77777777" w:rsidR="00567A11" w:rsidRPr="009B7B0B" w:rsidRDefault="00567A11" w:rsidP="006B3AA4">
      <w:pPr>
        <w:pStyle w:val="KUJKmezeraDZ"/>
      </w:pPr>
    </w:p>
    <w:p w14:paraId="0239EDE0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Materiál je předkládán zastupitelstvu kraje na základě usnesení č. 134/2016/ZK-22, které ukládá zařazovat do programu jednání zastupitelstva kraje informaci o plnění rozpočtu s pololetní periodicitou.</w:t>
      </w:r>
    </w:p>
    <w:p w14:paraId="0367595C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Cílem obsahu textové části, obsaženého v důvodové zprávě, je podat informace o výsledcích rozpočtového hospodaření za sledované období včetně příslušných zdůvodnění. K návrhu je připojena tabulková část s bilancí a přehledem vybraných ukazatelů za rok 2024 (příloha č. 1) a dále příloha č. 2, která obsahuje oficiální výkaz Jihočeského kraje za hodnocené období. Výkaz byl předán ve stanovené lhůtě do Centrálního systému účetních informací státu.</w:t>
      </w:r>
    </w:p>
    <w:p w14:paraId="2EDBCDA1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Ve vykazovaném období roku 2024 bylo dosaženo přebytku hospodaření ve výši 685 377 579,81 Kč.</w:t>
      </w:r>
    </w:p>
    <w:p w14:paraId="416C7498" w14:textId="77777777" w:rsidR="00567A11" w:rsidRPr="005757E1" w:rsidRDefault="00567A11" w:rsidP="005757E1">
      <w:pPr>
        <w:spacing w:after="120"/>
        <w:contextualSpacing/>
        <w:jc w:val="both"/>
        <w:rPr>
          <w:rFonts w:ascii="Arial" w:hAnsi="Arial" w:cs="Arial"/>
          <w:sz w:val="20"/>
          <w:szCs w:val="28"/>
        </w:rPr>
      </w:pPr>
    </w:p>
    <w:p w14:paraId="78C1B103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b/>
          <w:bCs/>
          <w:sz w:val="20"/>
          <w:szCs w:val="28"/>
        </w:rPr>
      </w:pPr>
    </w:p>
    <w:p w14:paraId="39B0B4AE" w14:textId="77777777" w:rsidR="00567A11" w:rsidRPr="005757E1" w:rsidRDefault="00567A11" w:rsidP="005757E1">
      <w:pPr>
        <w:spacing w:after="120"/>
        <w:ind w:firstLine="426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1.</w:t>
      </w:r>
      <w:r w:rsidRPr="005757E1">
        <w:rPr>
          <w:rFonts w:ascii="Arial" w:hAnsi="Arial" w:cs="Arial"/>
          <w:b/>
          <w:bCs/>
          <w:sz w:val="20"/>
          <w:szCs w:val="28"/>
        </w:rPr>
        <w:tab/>
      </w:r>
      <w:r w:rsidRPr="005757E1">
        <w:rPr>
          <w:rFonts w:ascii="Arial" w:hAnsi="Arial" w:cs="Arial"/>
          <w:b/>
          <w:bCs/>
          <w:sz w:val="20"/>
          <w:szCs w:val="28"/>
          <w:u w:val="single"/>
        </w:rPr>
        <w:t>Úvod</w:t>
      </w:r>
    </w:p>
    <w:p w14:paraId="4B1042F7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Zdrojem údajů pro sestavení textové části rozboru jsou data z finančního výkazu Jihočeského kraje („</w:t>
      </w:r>
      <w:r w:rsidRPr="005757E1">
        <w:rPr>
          <w:rFonts w:ascii="Arial" w:hAnsi="Arial" w:cs="Arial"/>
          <w:i/>
          <w:iCs/>
          <w:sz w:val="20"/>
          <w:szCs w:val="28"/>
        </w:rPr>
        <w:t>Výkaz pro hodnocení plnění rozpočtu územních samosprávných celků, dobrovolných svazků obcí a regionálních rad – Výkaz FIN 2-12 M</w:t>
      </w:r>
      <w:r w:rsidRPr="005757E1">
        <w:rPr>
          <w:rFonts w:ascii="Arial" w:hAnsi="Arial" w:cs="Arial"/>
          <w:sz w:val="20"/>
          <w:szCs w:val="28"/>
        </w:rPr>
        <w:t>“) za období 12/2024 a dále údaje čerpané z účetního a rozpočtového SW Ginis za stejné období. Veškeré číselné parametry jsou uvedeny po konsolidaci příjmů a výdajů.</w:t>
      </w:r>
    </w:p>
    <w:p w14:paraId="49E5C9B5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Publikované součtové údaje v tabulkách jsou v některých případech zatíženy nepřesností na posledním desetinném místě vzhledem k zaokrouhlování.</w:t>
      </w:r>
    </w:p>
    <w:p w14:paraId="0F7805A4" w14:textId="77777777" w:rsidR="00567A1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Detailní pohled do jednotlivých příjmů a výdajů umožňuje aplikace </w:t>
      </w:r>
      <w:r w:rsidRPr="005757E1">
        <w:rPr>
          <w:rFonts w:ascii="Arial" w:hAnsi="Arial" w:cs="Arial"/>
          <w:b/>
          <w:bCs/>
          <w:sz w:val="20"/>
          <w:szCs w:val="28"/>
        </w:rPr>
        <w:t>ROZKLIKÁVACÍ ROZPOČET</w:t>
      </w:r>
      <w:r w:rsidRPr="005757E1">
        <w:rPr>
          <w:rFonts w:ascii="Arial" w:hAnsi="Arial" w:cs="Arial"/>
          <w:sz w:val="20"/>
          <w:szCs w:val="28"/>
        </w:rPr>
        <w:t xml:space="preserve"> Jihočeského kraje, která je k dispozici na webových stránkách Jihočeského kraje pod odkazem: </w:t>
      </w:r>
      <w:hyperlink r:id="rId8" w:history="1">
        <w:r w:rsidRPr="005757E1">
          <w:rPr>
            <w:rFonts w:ascii="Arial" w:hAnsi="Arial" w:cs="Arial"/>
            <w:color w:val="0000FF"/>
            <w:sz w:val="20"/>
            <w:szCs w:val="28"/>
            <w:u w:val="single"/>
          </w:rPr>
          <w:t>https://www.kraj-jihocesky.cz/index.php/jihocesky-kraj/hospodareni-kraje</w:t>
        </w:r>
      </w:hyperlink>
      <w:r w:rsidRPr="005757E1">
        <w:rPr>
          <w:rFonts w:ascii="Arial" w:hAnsi="Arial" w:cs="Arial"/>
          <w:color w:val="0000FF"/>
          <w:sz w:val="20"/>
          <w:szCs w:val="28"/>
        </w:rPr>
        <w:t>.</w:t>
      </w:r>
      <w:r w:rsidRPr="005757E1">
        <w:rPr>
          <w:rFonts w:ascii="Arial" w:hAnsi="Arial" w:cs="Arial"/>
          <w:sz w:val="20"/>
          <w:szCs w:val="28"/>
        </w:rPr>
        <w:t xml:space="preserve"> Na tomto rozpočtovém portálu jsou pravidelně každý měsíc zveřejňovány aktuální údaje o plnění rozpočtu. </w:t>
      </w:r>
    </w:p>
    <w:p w14:paraId="0A7D12BD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</w:p>
    <w:p w14:paraId="7B448BF0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</w:p>
    <w:p w14:paraId="0FB967A2" w14:textId="77777777" w:rsidR="00567A11" w:rsidRPr="005757E1" w:rsidRDefault="00567A11" w:rsidP="005757E1">
      <w:pPr>
        <w:spacing w:after="120"/>
        <w:ind w:firstLine="426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2.</w:t>
      </w:r>
      <w:r w:rsidRPr="005757E1">
        <w:rPr>
          <w:rFonts w:ascii="Arial" w:hAnsi="Arial" w:cs="Arial"/>
          <w:b/>
          <w:bCs/>
          <w:sz w:val="20"/>
          <w:szCs w:val="28"/>
        </w:rPr>
        <w:tab/>
      </w:r>
      <w:r w:rsidRPr="005757E1">
        <w:rPr>
          <w:rFonts w:ascii="Arial" w:hAnsi="Arial" w:cs="Arial"/>
          <w:b/>
          <w:bCs/>
          <w:sz w:val="20"/>
          <w:szCs w:val="28"/>
          <w:u w:val="single"/>
        </w:rPr>
        <w:t>Základní charakteristiky finančního hospodaření kraje</w:t>
      </w:r>
    </w:p>
    <w:p w14:paraId="56C965A0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Rozpočet na rok 2024 byl schválen usnesením Zastupitelstva Jihočeského kraje č. 412/2023/ZK-31 ze dne 14. 12. 2023 jako schodkový s celkovými příjmy 25 927 009 400 Kč, celkovými výdaji 27 182 322 800 Kč a schodkem 1 255 313 400 Kč. </w:t>
      </w:r>
    </w:p>
    <w:p w14:paraId="074C98AD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Ke krytí schodku bylo spolu s financováním přitom schváleno zapojení finančních prostředků z minulých let, deponovaných na účtech účelových fondů kraje v úhrnném objemu 1 255 313 400 Kč (z toho zapojení části zůstatku Fondu rezerv a rozvoje Jihočeského kraje ve výši 1 215 735 400 Kč).</w:t>
      </w:r>
    </w:p>
    <w:p w14:paraId="2089C764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V průběhu roku byly příjmy i výdaje schváleného rozpočtu průběžně upravovány rozpočtovými opatřeními, evidovanými v časové posloupnosti.</w:t>
      </w:r>
    </w:p>
    <w:p w14:paraId="60B3170D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Důvodem rozpočtových opatření, provedených počátkem roku, byly zejména převody nevyčerpaných prostředků z roku 2023 do roku 2024.</w:t>
      </w:r>
    </w:p>
    <w:p w14:paraId="518831C0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70E97F65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Po provedení veškerých rozpočtových opatření, došlo k navýšení celkových příjmů schváleného rozpočtu o 40 428,42 tis. Kč a snížení celkových výdajů o 799 164,44 tis. Kč. Tyto rozpočtové změny měly ve svém konečném důsledku dopad do salda schváleného rozpočtu. Dle upraveného rozpočtu na konci roku se tak předpokládal </w:t>
      </w:r>
      <w:r w:rsidRPr="005757E1">
        <w:rPr>
          <w:rFonts w:ascii="Arial" w:hAnsi="Arial" w:cs="Arial"/>
          <w:b/>
          <w:bCs/>
          <w:sz w:val="20"/>
          <w:szCs w:val="28"/>
        </w:rPr>
        <w:t>maximální povolený schodek</w:t>
      </w:r>
      <w:r w:rsidRPr="005757E1">
        <w:rPr>
          <w:rFonts w:ascii="Arial" w:hAnsi="Arial" w:cs="Arial"/>
          <w:sz w:val="20"/>
          <w:szCs w:val="28"/>
        </w:rPr>
        <w:t xml:space="preserve"> na rok 2024 na úrovni 415 720,54 tis. Kč.</w:t>
      </w:r>
    </w:p>
    <w:p w14:paraId="48C92E11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Rozpočtové hospodaření Jihočeského kraje podle stavu k 31. 12. 2024 vykazuje </w:t>
      </w:r>
      <w:r w:rsidRPr="005757E1">
        <w:rPr>
          <w:rFonts w:ascii="Arial" w:hAnsi="Arial" w:cs="Arial"/>
          <w:b/>
          <w:bCs/>
          <w:sz w:val="20"/>
          <w:szCs w:val="28"/>
        </w:rPr>
        <w:t>skutečný přebytek</w:t>
      </w:r>
      <w:r w:rsidRPr="005757E1">
        <w:rPr>
          <w:rFonts w:ascii="Arial" w:hAnsi="Arial" w:cs="Arial"/>
          <w:sz w:val="20"/>
          <w:szCs w:val="28"/>
        </w:rPr>
        <w:t xml:space="preserve"> ve výši 685 377,58 tis. Kč. Základní parametry schváleného rozpočtu, upraveného rozpočtu a skutečnosti za rok 2024 jsou patrné z následujícího přehledu.</w:t>
      </w:r>
    </w:p>
    <w:p w14:paraId="68F91D10" w14:textId="77777777" w:rsidR="00567A11" w:rsidRPr="005757E1" w:rsidRDefault="00567A11" w:rsidP="005757E1">
      <w:pPr>
        <w:spacing w:after="120"/>
        <w:contextualSpacing/>
        <w:jc w:val="both"/>
        <w:rPr>
          <w:rFonts w:ascii="Arial" w:hAnsi="Arial" w:cs="Arial"/>
          <w:sz w:val="20"/>
          <w:szCs w:val="28"/>
        </w:rPr>
      </w:pPr>
    </w:p>
    <w:p w14:paraId="37DCD551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Tabulka č. 1: Bilance příjmů a výdajů k 31. 12. 2024 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567A11" w:rsidRPr="005757E1" w14:paraId="0526948E" w14:textId="77777777" w:rsidTr="005757E1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2DF04A7C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664A84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459121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DD7D7A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Skutečnost</w:t>
            </w: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br/>
              <w:t>31. 12. 2024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2366AB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% plnění UR</w:t>
            </w:r>
          </w:p>
        </w:tc>
      </w:tr>
      <w:tr w:rsidR="00567A11" w:rsidRPr="005757E1" w14:paraId="1EDEAFCC" w14:textId="77777777" w:rsidTr="005757E1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AFC7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>Příjmy celkem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34DD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25 927 009,40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FEBE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25 967 437,82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8DA0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26 155 689,52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FB5B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100,72</w:t>
            </w:r>
          </w:p>
        </w:tc>
      </w:tr>
      <w:tr w:rsidR="00567A11" w:rsidRPr="005757E1" w14:paraId="31F1B9BD" w14:textId="77777777" w:rsidTr="005757E1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E180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>Výdaje 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D4C7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27 182 322,80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91A4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26 383 158,36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EA9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25 470 311,94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9811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96,54</w:t>
            </w:r>
          </w:p>
        </w:tc>
      </w:tr>
      <w:tr w:rsidR="00567A11" w:rsidRPr="005757E1" w14:paraId="08E06FCA" w14:textId="77777777" w:rsidTr="005757E1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6147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Saldo příjmů a výdajů (+/-)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D8F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-1 255 313,40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CB4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-415 720,54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27E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+685 377,58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E218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*</w:t>
            </w:r>
          </w:p>
        </w:tc>
      </w:tr>
    </w:tbl>
    <w:p w14:paraId="252D4D49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5FAA623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Disproporce mezi platným upraveným rozpočtem a dosaženou skutečností jsou obsahem níže uvedených komentářů. Část nedočerpaných výdajů je na základě principu převoditelnosti (prostředky potvrzené smluvně či přidělené rozhodnutím samosprávy) převáděna rozpočtovými opatřeními do rozpočtu roku 2025. </w:t>
      </w:r>
    </w:p>
    <w:p w14:paraId="0BC46489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8518AC1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B44BD52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71FB6E6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6B873A9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D3A1FFE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9EA2804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70E0C01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0EF4114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35A07761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8109948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FD53F36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2E6F594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167E504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9C99169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4DC4382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116AE51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7E2A15F7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F999BF1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Měsíční vývoj</w:t>
      </w:r>
      <w:r w:rsidRPr="005757E1">
        <w:rPr>
          <w:rFonts w:ascii="Arial" w:hAnsi="Arial" w:cs="Arial"/>
          <w:sz w:val="20"/>
          <w:szCs w:val="28"/>
        </w:rPr>
        <w:t xml:space="preserve"> plnění příjmů, výdajů a salda přírůstkově v průběhu roku 2024 je zřejmý z následující tabulky a grafu.</w:t>
      </w:r>
    </w:p>
    <w:p w14:paraId="33004617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C8DBC85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Tabulka č. 2: Příjmy, výdaje a saldo k 31. 12. 2024 (nápočtem, v tis. Kč)</w:t>
      </w:r>
    </w:p>
    <w:tbl>
      <w:tblPr>
        <w:tblW w:w="677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"/>
        <w:gridCol w:w="1940"/>
        <w:gridCol w:w="1940"/>
        <w:gridCol w:w="1803"/>
      </w:tblGrid>
      <w:tr w:rsidR="00567A11" w:rsidRPr="005757E1" w14:paraId="28701BEB" w14:textId="77777777" w:rsidTr="005757E1">
        <w:trPr>
          <w:trHeight w:val="643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85FDD3" w14:textId="77777777" w:rsidR="00567A11" w:rsidRPr="005757E1" w:rsidRDefault="00567A11" w:rsidP="005757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Měsíc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677ABE" w14:textId="77777777" w:rsidR="00567A11" w:rsidRPr="005757E1" w:rsidRDefault="00567A11" w:rsidP="005757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Příjmy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DCA4DD" w14:textId="77777777" w:rsidR="00567A11" w:rsidRPr="005757E1" w:rsidRDefault="00567A11" w:rsidP="005757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Výdaje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AD83F5" w14:textId="77777777" w:rsidR="00567A11" w:rsidRPr="005757E1" w:rsidRDefault="00567A11" w:rsidP="005757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Saldo příjmů</w:t>
            </w:r>
          </w:p>
          <w:p w14:paraId="35AC2765" w14:textId="77777777" w:rsidR="00567A11" w:rsidRPr="005757E1" w:rsidRDefault="00567A11" w:rsidP="005757E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 výdajů</w:t>
            </w:r>
          </w:p>
        </w:tc>
      </w:tr>
      <w:tr w:rsidR="00567A11" w:rsidRPr="005757E1" w14:paraId="174ABF32" w14:textId="77777777" w:rsidTr="005757E1">
        <w:trPr>
          <w:trHeight w:val="340"/>
        </w:trPr>
        <w:tc>
          <w:tcPr>
            <w:tcW w:w="1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D21F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leden</w:t>
            </w:r>
          </w:p>
        </w:tc>
        <w:tc>
          <w:tcPr>
            <w:tcW w:w="1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E19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2 750 454,67</w:t>
            </w:r>
          </w:p>
        </w:tc>
        <w:tc>
          <w:tcPr>
            <w:tcW w:w="19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B1F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750 007,73</w:t>
            </w: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A64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+2 000 446,94</w:t>
            </w:r>
          </w:p>
        </w:tc>
      </w:tr>
      <w:tr w:rsidR="00567A11" w:rsidRPr="005757E1" w14:paraId="72F7CF40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ACFE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únor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5F3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4 582 603,05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C41C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3 447 581,05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14D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+1 135 022,00</w:t>
            </w:r>
          </w:p>
        </w:tc>
      </w:tr>
      <w:tr w:rsidR="00567A11" w:rsidRPr="005757E1" w14:paraId="2DF5AFC7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C536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březen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5EF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7 681 093,78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117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5 100 003,66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4B9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+2 581 090,12</w:t>
            </w:r>
          </w:p>
        </w:tc>
      </w:tr>
      <w:tr w:rsidR="00567A11" w:rsidRPr="005757E1" w14:paraId="52730BD6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1E50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duben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C5A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8 610 251,73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0C76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7820 309,69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CE7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+789 942,04</w:t>
            </w:r>
          </w:p>
        </w:tc>
      </w:tr>
      <w:tr w:rsidR="00567A11" w:rsidRPr="005757E1" w14:paraId="75F0800B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E676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květen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0EE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11 314 064,62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FCE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10 813 794,35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FD5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+500 270,27</w:t>
            </w:r>
          </w:p>
        </w:tc>
      </w:tr>
      <w:tr w:rsidR="00567A11" w:rsidRPr="005757E1" w14:paraId="76C8B97B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2D18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červen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B86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15 307 802,35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91FB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12 460 988,68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F2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+2 846 813,67</w:t>
            </w:r>
          </w:p>
        </w:tc>
      </w:tr>
      <w:tr w:rsidR="00567A11" w:rsidRPr="005757E1" w14:paraId="642FF551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A8FC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červenec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846C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17 006 528,16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D18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15 537 013,70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7EB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+1 469 514,46</w:t>
            </w:r>
          </w:p>
        </w:tc>
      </w:tr>
      <w:tr w:rsidR="00567A11" w:rsidRPr="005757E1" w14:paraId="45FD58A4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FF2B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srpen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C6D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17 810 783,37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5AF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16 451 702,18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155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+1 359 081,19</w:t>
            </w:r>
          </w:p>
        </w:tc>
      </w:tr>
      <w:tr w:rsidR="00567A11" w:rsidRPr="005757E1" w14:paraId="7C2671A8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CD6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září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1EBE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20 725 903,56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200F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17 483 258,74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D2C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+3 242 644,82</w:t>
            </w:r>
          </w:p>
        </w:tc>
      </w:tr>
      <w:tr w:rsidR="00567A11" w:rsidRPr="005757E1" w14:paraId="5BA5584C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2CAB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říjen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990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21 681 265,57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738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20 711 063,53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5DD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+970 202,04</w:t>
            </w:r>
          </w:p>
        </w:tc>
      </w:tr>
      <w:tr w:rsidR="00567A11" w:rsidRPr="005757E1" w14:paraId="0918714E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4F39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listopad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21F6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24 493 670,84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B5B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22 913 945,88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A45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+1 579 724,96</w:t>
            </w:r>
          </w:p>
        </w:tc>
      </w:tr>
      <w:tr w:rsidR="00567A11" w:rsidRPr="005757E1" w14:paraId="3174D337" w14:textId="77777777" w:rsidTr="005757E1">
        <w:trPr>
          <w:trHeight w:val="324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6CB2" w14:textId="77777777" w:rsidR="00567A11" w:rsidRPr="005757E1" w:rsidRDefault="00567A11" w:rsidP="005757E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prosinec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945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26 155 689,52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F03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25 470 311,94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B48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+685 377,58</w:t>
            </w:r>
          </w:p>
        </w:tc>
      </w:tr>
    </w:tbl>
    <w:p w14:paraId="69D7C5B6" w14:textId="77777777" w:rsidR="00567A11" w:rsidRPr="005757E1" w:rsidRDefault="00567A11" w:rsidP="005757E1">
      <w:pPr>
        <w:contextualSpacing/>
        <w:jc w:val="both"/>
        <w:rPr>
          <w:rFonts w:ascii="Arial" w:hAnsi="Arial"/>
          <w:sz w:val="20"/>
          <w:szCs w:val="28"/>
        </w:rPr>
      </w:pPr>
    </w:p>
    <w:p w14:paraId="15C8C411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521677B2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 xml:space="preserve">Graf č. 1: Měsíční vývoj salda příjmů a výdajů k 31. 12. 2024 (v tis. Kč) </w:t>
      </w:r>
    </w:p>
    <w:p w14:paraId="42FAD85B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color w:val="FF0000"/>
          <w:sz w:val="20"/>
          <w:szCs w:val="28"/>
        </w:rPr>
      </w:pPr>
      <w:r>
        <w:rPr>
          <w:rFonts w:ascii="Arial" w:hAnsi="Arial" w:cs="Arial"/>
          <w:noProof/>
          <w:sz w:val="20"/>
          <w:szCs w:val="28"/>
        </w:rPr>
        <w:pict w14:anchorId="70E979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8" type="#_x0000_t75" style="width:483pt;height:244.8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">
            <v:imagedata r:id="rId9" o:title=""/>
            <o:lock v:ext="edit" aspectratio="f"/>
          </v:shape>
        </w:pict>
      </w:r>
    </w:p>
    <w:p w14:paraId="2C4AFC18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ab/>
      </w:r>
    </w:p>
    <w:p w14:paraId="53B5E0CF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Saldo hospodaření dosažené za sledované období má přímý dopad do kategorie Financování a ve skutečnosti se projevuje snížením potřeby zapojení finančních prostředků z minulých let pro vyrovnání rozpočtového deficitu. Jedná se o položku </w:t>
      </w:r>
      <w:r w:rsidRPr="005757E1">
        <w:rPr>
          <w:rFonts w:ascii="Arial" w:hAnsi="Arial" w:cs="Arial"/>
          <w:i/>
          <w:iCs/>
          <w:sz w:val="20"/>
          <w:szCs w:val="28"/>
        </w:rPr>
        <w:t>„Změna stavu na bankovních účtech“</w:t>
      </w:r>
      <w:r w:rsidRPr="005757E1">
        <w:rPr>
          <w:rFonts w:ascii="Arial" w:hAnsi="Arial" w:cs="Arial"/>
          <w:sz w:val="20"/>
          <w:szCs w:val="28"/>
        </w:rPr>
        <w:t>.</w:t>
      </w:r>
    </w:p>
    <w:p w14:paraId="037E58F8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127C78F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E1F8BE6" w14:textId="77777777" w:rsidR="00567A1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B46ACF3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165E18A" w14:textId="77777777" w:rsidR="00567A1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C8A16F8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289FE589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9359083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iCs/>
          <w:sz w:val="20"/>
          <w:szCs w:val="28"/>
        </w:rPr>
      </w:pPr>
      <w:r w:rsidRPr="005757E1">
        <w:rPr>
          <w:rFonts w:ascii="Arial" w:hAnsi="Arial" w:cs="Arial"/>
          <w:b/>
          <w:bCs/>
          <w:iCs/>
          <w:sz w:val="20"/>
          <w:szCs w:val="28"/>
        </w:rPr>
        <w:t>Tabulka č. 3: Financování k 31. 12. 2024</w:t>
      </w:r>
      <w:r w:rsidRPr="005757E1">
        <w:rPr>
          <w:rFonts w:ascii="Arial" w:hAnsi="Arial" w:cs="Arial"/>
          <w:iCs/>
          <w:sz w:val="20"/>
          <w:szCs w:val="28"/>
        </w:rPr>
        <w:t xml:space="preserve"> </w:t>
      </w:r>
      <w:r w:rsidRPr="005757E1">
        <w:rPr>
          <w:rFonts w:ascii="Arial" w:hAnsi="Arial" w:cs="Arial"/>
          <w:b/>
          <w:bCs/>
          <w:iCs/>
          <w:sz w:val="20"/>
          <w:szCs w:val="28"/>
        </w:rPr>
        <w:t>(v tis. Kč)</w:t>
      </w:r>
    </w:p>
    <w:tbl>
      <w:tblPr>
        <w:tblW w:w="96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410"/>
        <w:gridCol w:w="1418"/>
        <w:gridCol w:w="1187"/>
      </w:tblGrid>
      <w:tr w:rsidR="00567A11" w:rsidRPr="005757E1" w14:paraId="2DF6F507" w14:textId="77777777" w:rsidTr="005757E1">
        <w:trPr>
          <w:trHeight w:val="7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6F5BFF7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Ukazatel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CD2406C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Schválený rozpočet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FE32F7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Upravený rozpočet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AF635BA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Skutečnost</w:t>
            </w: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br/>
              <w:t>31. 12. 2024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77EE1F" w14:textId="77777777" w:rsidR="00567A11" w:rsidRPr="005757E1" w:rsidRDefault="00567A11" w:rsidP="005757E1">
            <w:pPr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% plnění UR</w:t>
            </w:r>
          </w:p>
        </w:tc>
      </w:tr>
      <w:tr w:rsidR="00567A11" w:rsidRPr="005757E1" w14:paraId="638357A1" w14:textId="77777777" w:rsidTr="005757E1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622D83E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Změna stavu na bankovních účtech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C666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+1 255 313,40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4E7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+415 720,54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078F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 xml:space="preserve">-685 480,81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B32B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-164,86</w:t>
            </w:r>
          </w:p>
        </w:tc>
      </w:tr>
      <w:tr w:rsidR="00567A11" w:rsidRPr="005757E1" w14:paraId="10D22A52" w14:textId="77777777" w:rsidTr="005757E1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5A19E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Operace nemající charakter P a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F3FA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A5E5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2792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+4,13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DCA9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*</w:t>
            </w:r>
          </w:p>
        </w:tc>
      </w:tr>
      <w:tr w:rsidR="00567A11" w:rsidRPr="005757E1" w14:paraId="57E5A53A" w14:textId="77777777" w:rsidTr="005757E1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E470E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Nereal. kurz. rozdíly pohyb. na deviz. účtech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7EC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71E5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2D04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+99,10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CF97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8"/>
              </w:rPr>
              <w:t>*</w:t>
            </w:r>
          </w:p>
        </w:tc>
      </w:tr>
      <w:tr w:rsidR="00567A11" w:rsidRPr="005757E1" w14:paraId="1FB2CD2D" w14:textId="77777777" w:rsidTr="005757E1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085F4" w14:textId="77777777" w:rsidR="00567A11" w:rsidRPr="005757E1" w:rsidRDefault="00567A11" w:rsidP="005757E1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Financování celkem (+/-)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99FC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+1 255 313,40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492B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+415 720,54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AA53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-685 377,58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4F25E" w14:textId="77777777" w:rsidR="00567A11" w:rsidRPr="005757E1" w:rsidRDefault="00567A11" w:rsidP="005757E1">
            <w:pPr>
              <w:contextualSpacing/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-164,86</w:t>
            </w:r>
          </w:p>
        </w:tc>
      </w:tr>
    </w:tbl>
    <w:p w14:paraId="297606B3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ab/>
      </w:r>
    </w:p>
    <w:p w14:paraId="2FEBC237" w14:textId="77777777" w:rsidR="00567A11" w:rsidRPr="005757E1" w:rsidRDefault="00567A11" w:rsidP="005757E1">
      <w:pPr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K 31. 12. 2024 byly na peněžních účtech kraje a v pokladně vykázány tyto zůstatky: </w:t>
      </w:r>
    </w:p>
    <w:p w14:paraId="028692DF" w14:textId="77777777" w:rsidR="00567A11" w:rsidRPr="005757E1" w:rsidRDefault="00567A11" w:rsidP="005757E1">
      <w:pPr>
        <w:ind w:firstLine="426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bankovní účty fondů 7 056 210,15 tis. Kč,</w:t>
      </w:r>
    </w:p>
    <w:p w14:paraId="7FBD3526" w14:textId="77777777" w:rsidR="00567A11" w:rsidRPr="005757E1" w:rsidRDefault="00567A11" w:rsidP="005757E1">
      <w:pPr>
        <w:ind w:firstLine="426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běžné účty 662 458,01 tis. Kč,</w:t>
      </w:r>
    </w:p>
    <w:p w14:paraId="18ACDF3B" w14:textId="77777777" w:rsidR="00567A11" w:rsidRPr="005757E1" w:rsidRDefault="00567A11" w:rsidP="005757E1">
      <w:pPr>
        <w:ind w:firstLine="426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účty projektů 135 147,38 tis. Kč,</w:t>
      </w:r>
    </w:p>
    <w:p w14:paraId="3AFC9E8B" w14:textId="77777777" w:rsidR="00567A11" w:rsidRPr="005757E1" w:rsidRDefault="00567A11" w:rsidP="005757E1">
      <w:pPr>
        <w:ind w:firstLine="425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pokladna 140,79 tis. Kč.</w:t>
      </w:r>
    </w:p>
    <w:p w14:paraId="085B189C" w14:textId="77777777" w:rsidR="00567A11" w:rsidRDefault="00567A11" w:rsidP="005757E1">
      <w:pPr>
        <w:jc w:val="both"/>
        <w:rPr>
          <w:rFonts w:ascii="Arial" w:hAnsi="Arial" w:cs="Arial"/>
          <w:sz w:val="20"/>
          <w:szCs w:val="28"/>
        </w:rPr>
      </w:pPr>
    </w:p>
    <w:p w14:paraId="29CBD18B" w14:textId="77777777" w:rsidR="00567A11" w:rsidRPr="005757E1" w:rsidRDefault="00567A11" w:rsidP="005757E1">
      <w:pPr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Jihočeský kraj tak na konci roku 2024 disponoval </w:t>
      </w:r>
      <w:r w:rsidRPr="005757E1">
        <w:rPr>
          <w:rFonts w:ascii="Arial" w:hAnsi="Arial" w:cs="Arial"/>
          <w:b/>
          <w:bCs/>
          <w:sz w:val="20"/>
          <w:szCs w:val="28"/>
        </w:rPr>
        <w:t>zůstatkem prostředků na účtech, fondech a v pokladně</w:t>
      </w:r>
      <w:r w:rsidRPr="005757E1">
        <w:rPr>
          <w:rFonts w:ascii="Arial" w:hAnsi="Arial" w:cs="Arial"/>
          <w:sz w:val="20"/>
          <w:szCs w:val="28"/>
        </w:rPr>
        <w:t xml:space="preserve"> ve výši </w:t>
      </w:r>
      <w:r w:rsidRPr="005757E1">
        <w:rPr>
          <w:rFonts w:ascii="Arial" w:hAnsi="Arial" w:cs="Arial"/>
          <w:b/>
          <w:bCs/>
          <w:sz w:val="20"/>
          <w:szCs w:val="28"/>
        </w:rPr>
        <w:t>7 853 956,32 tis. Kč</w:t>
      </w:r>
      <w:r w:rsidRPr="005757E1">
        <w:rPr>
          <w:rFonts w:ascii="Arial" w:hAnsi="Arial" w:cs="Arial"/>
          <w:sz w:val="20"/>
          <w:szCs w:val="28"/>
        </w:rPr>
        <w:t xml:space="preserve">. Na </w:t>
      </w:r>
      <w:r w:rsidRPr="005757E1">
        <w:rPr>
          <w:rFonts w:ascii="Arial" w:hAnsi="Arial" w:cs="Arial"/>
          <w:b/>
          <w:bCs/>
          <w:sz w:val="20"/>
          <w:szCs w:val="28"/>
        </w:rPr>
        <w:t>termínovaných vkladech a depozitním účtu</w:t>
      </w:r>
      <w:r w:rsidRPr="005757E1">
        <w:rPr>
          <w:rFonts w:ascii="Arial" w:hAnsi="Arial" w:cs="Arial"/>
          <w:sz w:val="20"/>
          <w:szCs w:val="28"/>
        </w:rPr>
        <w:t xml:space="preserve"> bylo ke stejnému datu deponováno celkem </w:t>
      </w:r>
      <w:r w:rsidRPr="005757E1">
        <w:rPr>
          <w:rFonts w:ascii="Arial" w:hAnsi="Arial" w:cs="Arial"/>
          <w:b/>
          <w:bCs/>
          <w:sz w:val="20"/>
          <w:szCs w:val="28"/>
        </w:rPr>
        <w:t>5 235,22 tis. Kč</w:t>
      </w:r>
      <w:r w:rsidRPr="005757E1">
        <w:rPr>
          <w:rFonts w:ascii="Arial" w:hAnsi="Arial" w:cs="Arial"/>
          <w:sz w:val="20"/>
          <w:szCs w:val="28"/>
        </w:rPr>
        <w:t xml:space="preserve">. </w:t>
      </w:r>
      <w:r w:rsidRPr="005757E1">
        <w:rPr>
          <w:rFonts w:ascii="Arial" w:hAnsi="Arial" w:cs="Arial"/>
          <w:b/>
          <w:bCs/>
          <w:sz w:val="20"/>
          <w:szCs w:val="28"/>
        </w:rPr>
        <w:t>Celkový zůstatek veškerých finančních prostředků kraje</w:t>
      </w:r>
      <w:r w:rsidRPr="005757E1">
        <w:rPr>
          <w:rFonts w:ascii="Arial" w:hAnsi="Arial" w:cs="Arial"/>
          <w:sz w:val="20"/>
          <w:szCs w:val="28"/>
        </w:rPr>
        <w:t xml:space="preserve"> tak k 31. 12. 2024 činil </w:t>
      </w:r>
      <w:r w:rsidRPr="005757E1">
        <w:rPr>
          <w:rFonts w:ascii="Arial" w:hAnsi="Arial" w:cs="Arial"/>
          <w:b/>
          <w:bCs/>
          <w:sz w:val="20"/>
          <w:szCs w:val="28"/>
        </w:rPr>
        <w:t>7 859 191,54 tis. Kč</w:t>
      </w:r>
      <w:r w:rsidRPr="005757E1">
        <w:rPr>
          <w:rFonts w:ascii="Arial" w:hAnsi="Arial" w:cs="Arial"/>
          <w:sz w:val="20"/>
          <w:szCs w:val="28"/>
        </w:rPr>
        <w:t>.</w:t>
      </w:r>
    </w:p>
    <w:p w14:paraId="0B32962B" w14:textId="77777777" w:rsidR="00567A11" w:rsidRPr="005757E1" w:rsidRDefault="00567A11" w:rsidP="005757E1">
      <w:pPr>
        <w:jc w:val="both"/>
        <w:rPr>
          <w:rFonts w:ascii="Arial" w:hAnsi="Arial" w:cs="Arial"/>
          <w:sz w:val="20"/>
          <w:szCs w:val="28"/>
        </w:rPr>
      </w:pPr>
    </w:p>
    <w:p w14:paraId="2EB7ACD7" w14:textId="77777777" w:rsidR="00567A11" w:rsidRPr="005757E1" w:rsidRDefault="00567A11" w:rsidP="005757E1">
      <w:pPr>
        <w:spacing w:after="120"/>
        <w:jc w:val="both"/>
        <w:rPr>
          <w:rFonts w:ascii="Arial" w:hAnsi="Arial"/>
          <w:sz w:val="20"/>
          <w:szCs w:val="28"/>
        </w:rPr>
      </w:pPr>
    </w:p>
    <w:p w14:paraId="576E76F1" w14:textId="77777777" w:rsidR="00567A11" w:rsidRPr="005757E1" w:rsidRDefault="00567A11" w:rsidP="005757E1">
      <w:pPr>
        <w:spacing w:after="120"/>
        <w:ind w:firstLine="425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3.</w:t>
      </w:r>
      <w:r w:rsidRPr="005757E1">
        <w:rPr>
          <w:rFonts w:ascii="Arial" w:hAnsi="Arial" w:cs="Arial"/>
          <w:b/>
          <w:bCs/>
          <w:sz w:val="20"/>
          <w:szCs w:val="28"/>
        </w:rPr>
        <w:tab/>
      </w:r>
      <w:r w:rsidRPr="005757E1">
        <w:rPr>
          <w:rFonts w:ascii="Arial" w:hAnsi="Arial" w:cs="Arial"/>
          <w:b/>
          <w:bCs/>
          <w:sz w:val="20"/>
          <w:szCs w:val="28"/>
          <w:u w:val="single"/>
        </w:rPr>
        <w:t>Příjmy, výdaje a financování kraje</w:t>
      </w:r>
    </w:p>
    <w:p w14:paraId="43D5D64A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Údaje o plnění rozpočtu kraje vycházejí z účetních a finančních výkazů k datu 31. 12. 2024.</w:t>
      </w:r>
    </w:p>
    <w:p w14:paraId="7D8AAD72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iCs/>
          <w:sz w:val="20"/>
          <w:szCs w:val="28"/>
        </w:rPr>
      </w:pPr>
      <w:r w:rsidRPr="005757E1">
        <w:rPr>
          <w:rFonts w:ascii="Arial" w:hAnsi="Arial" w:cs="Arial"/>
          <w:b/>
          <w:bCs/>
          <w:iCs/>
          <w:sz w:val="20"/>
          <w:szCs w:val="28"/>
        </w:rPr>
        <w:t>Tabulka č. 4: Struktura a plnění příjmů a výdajů k 31. 12. 2024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567A11" w:rsidRPr="005757E1" w14:paraId="00563642" w14:textId="77777777" w:rsidTr="005757E1">
        <w:trPr>
          <w:trHeight w:val="770"/>
        </w:trPr>
        <w:tc>
          <w:tcPr>
            <w:tcW w:w="2967" w:type="dxa"/>
            <w:tcBorders>
              <w:top w:val="single" w:sz="2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C2CE314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Ukazatel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110490F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Schválený</w:t>
            </w:r>
          </w:p>
          <w:p w14:paraId="18CFB9A4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rozpočet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4117F59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Upravený</w:t>
            </w:r>
          </w:p>
          <w:p w14:paraId="5E4F7111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rozpočet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8B17D35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Skutečnost</w:t>
            </w:r>
          </w:p>
          <w:p w14:paraId="3C1D208A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31. 12. 2024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4761025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% plnění UR</w:t>
            </w:r>
          </w:p>
        </w:tc>
      </w:tr>
      <w:tr w:rsidR="00567A11" w:rsidRPr="005757E1" w14:paraId="50561C60" w14:textId="77777777" w:rsidTr="005757E1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66C3B27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Daňové příjmy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5EAF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9 703 470,00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4A70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9 703 470,00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81378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9 666 801,36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FD11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99,62</w:t>
            </w:r>
          </w:p>
        </w:tc>
      </w:tr>
      <w:tr w:rsidR="00567A11" w:rsidRPr="005757E1" w14:paraId="0F5C1298" w14:textId="77777777" w:rsidTr="005757E1">
        <w:trPr>
          <w:trHeight w:val="315"/>
        </w:trPr>
        <w:tc>
          <w:tcPr>
            <w:tcW w:w="2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28B7CB9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Nedaňové příjmy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C83A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417 708,60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2505E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518 474,10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1E54F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740 319,01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70C9F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142,79</w:t>
            </w:r>
          </w:p>
        </w:tc>
      </w:tr>
      <w:tr w:rsidR="00567A11" w:rsidRPr="005757E1" w14:paraId="5A592AD1" w14:textId="77777777" w:rsidTr="005757E1">
        <w:trPr>
          <w:trHeight w:val="315"/>
        </w:trPr>
        <w:tc>
          <w:tcPr>
            <w:tcW w:w="2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A421B19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Kapitálové příjmy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66BA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700,00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D53F1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4 320,63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A0FB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7 396,06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94D59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171,18</w:t>
            </w:r>
          </w:p>
        </w:tc>
      </w:tr>
      <w:tr w:rsidR="00567A11" w:rsidRPr="005757E1" w14:paraId="77A050F0" w14:textId="77777777" w:rsidTr="005757E1">
        <w:trPr>
          <w:trHeight w:val="315"/>
        </w:trPr>
        <w:tc>
          <w:tcPr>
            <w:tcW w:w="29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CC8BD0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Přijaté transfery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C760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15 805 130,80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84DE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15 741 173,09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221B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15 741 173,09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522AE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100,00</w:t>
            </w:r>
          </w:p>
        </w:tc>
      </w:tr>
      <w:tr w:rsidR="00567A11" w:rsidRPr="005757E1" w14:paraId="5DEA4BA4" w14:textId="77777777" w:rsidTr="005757E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4DFE52" w14:textId="77777777" w:rsidR="00567A11" w:rsidRPr="005757E1" w:rsidRDefault="00567A11" w:rsidP="005757E1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Příjmy celkem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288C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25 927 009,40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6E15C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25 967 437,82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06BC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26 155 689,52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46818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100,72</w:t>
            </w:r>
          </w:p>
        </w:tc>
      </w:tr>
      <w:tr w:rsidR="00567A11" w:rsidRPr="005757E1" w14:paraId="5ADC7E95" w14:textId="77777777" w:rsidTr="005757E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0064B424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Běžné výdaje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F6939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21 983 838,43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486A1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21 548 891,19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D84F5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21 145 800,64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2AD3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98,13</w:t>
            </w:r>
          </w:p>
        </w:tc>
      </w:tr>
      <w:tr w:rsidR="00567A11" w:rsidRPr="005757E1" w14:paraId="21D493F8" w14:textId="77777777" w:rsidTr="005757E1">
        <w:trPr>
          <w:trHeight w:val="315"/>
        </w:trPr>
        <w:tc>
          <w:tcPr>
            <w:tcW w:w="296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  <w:hideMark/>
          </w:tcPr>
          <w:p w14:paraId="57F1055A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Kapitálové výdaje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724C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5 198 484,37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A293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4 834 267,17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C6E7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4 324 511,30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771C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89,46</w:t>
            </w:r>
          </w:p>
        </w:tc>
      </w:tr>
      <w:tr w:rsidR="00567A11" w:rsidRPr="005757E1" w14:paraId="21C6C029" w14:textId="77777777" w:rsidTr="005757E1">
        <w:trPr>
          <w:trHeight w:val="315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3D5F2B" w14:textId="77777777" w:rsidR="00567A11" w:rsidRPr="005757E1" w:rsidRDefault="00567A11" w:rsidP="005757E1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bookmarkStart w:id="2" w:name="_Hlk174952012"/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Výdaje celkem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8D8CE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27 182 322,80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2204C4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26 383 158,36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1DBA4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25 470 311,94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119C8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96,54</w:t>
            </w:r>
          </w:p>
        </w:tc>
        <w:bookmarkEnd w:id="2"/>
      </w:tr>
      <w:tr w:rsidR="00567A11" w:rsidRPr="005757E1" w14:paraId="23C3C28F" w14:textId="77777777" w:rsidTr="005757E1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6A8B4" w14:textId="77777777" w:rsidR="00567A11" w:rsidRPr="005757E1" w:rsidRDefault="00567A11" w:rsidP="005757E1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Saldo příjmů a výdajů (+/-)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2E9FE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-1 255 313,40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77EA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-415 720,54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1B9A9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685 377,58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C53B2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-164,86</w:t>
            </w:r>
          </w:p>
        </w:tc>
      </w:tr>
    </w:tbl>
    <w:p w14:paraId="280BBB32" w14:textId="77777777" w:rsidR="00567A11" w:rsidRPr="005757E1" w:rsidRDefault="00567A11" w:rsidP="005757E1">
      <w:pPr>
        <w:spacing w:after="120"/>
        <w:contextualSpacing/>
        <w:jc w:val="both"/>
        <w:rPr>
          <w:rFonts w:ascii="Arial" w:hAnsi="Arial"/>
          <w:b/>
          <w:bCs/>
          <w:iCs/>
          <w:sz w:val="20"/>
          <w:szCs w:val="28"/>
        </w:rPr>
      </w:pPr>
    </w:p>
    <w:p w14:paraId="65193F6F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Daňové příjmy</w:t>
      </w:r>
      <w:r w:rsidRPr="005757E1">
        <w:rPr>
          <w:rFonts w:ascii="Arial" w:hAnsi="Arial" w:cs="Arial"/>
          <w:sz w:val="20"/>
          <w:szCs w:val="28"/>
        </w:rPr>
        <w:t xml:space="preserve"> jsou tvořeny především daňovými výnosy, jejichž podíly vyplývají ze zákona o rozpočtovém určení daní a ze správních činností (tzn. včetně správních poplatků a licencí). K 31. 12. 2024 byly tyto příjmy naplněny na </w:t>
      </w:r>
      <w:r w:rsidRPr="005757E1">
        <w:rPr>
          <w:rFonts w:ascii="Arial" w:hAnsi="Arial" w:cs="Arial"/>
          <w:b/>
          <w:bCs/>
          <w:sz w:val="20"/>
          <w:szCs w:val="28"/>
        </w:rPr>
        <w:t>99,62</w:t>
      </w:r>
      <w:r w:rsidRPr="005757E1">
        <w:rPr>
          <w:rFonts w:ascii="Arial" w:hAnsi="Arial" w:cs="Arial"/>
          <w:sz w:val="20"/>
          <w:szCs w:val="28"/>
        </w:rPr>
        <w:t xml:space="preserve"> % v celkové výši </w:t>
      </w:r>
      <w:r w:rsidRPr="005757E1">
        <w:rPr>
          <w:rFonts w:ascii="Arial" w:hAnsi="Arial" w:cs="Arial"/>
          <w:b/>
          <w:bCs/>
          <w:sz w:val="20"/>
          <w:szCs w:val="28"/>
        </w:rPr>
        <w:t>9 666 801,36</w:t>
      </w:r>
      <w:r w:rsidRPr="005757E1">
        <w:rPr>
          <w:rFonts w:ascii="Arial" w:hAnsi="Arial" w:cs="Arial"/>
          <w:sz w:val="20"/>
          <w:szCs w:val="28"/>
        </w:rPr>
        <w:t xml:space="preserve"> tis. Kč. Téměř celý objem těchto daňových příjmů (98,98 %) je tvořen příjmy ze sdílených daní, jejichž složení je blíže specifikováno v tabulce č. 5.</w:t>
      </w:r>
    </w:p>
    <w:p w14:paraId="14A3701A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Nedaňové příjmy</w:t>
      </w:r>
      <w:r w:rsidRPr="005757E1">
        <w:rPr>
          <w:rFonts w:ascii="Arial" w:hAnsi="Arial" w:cs="Arial"/>
          <w:sz w:val="20"/>
          <w:szCs w:val="28"/>
        </w:rPr>
        <w:t xml:space="preserve"> dosáhly objemu </w:t>
      </w:r>
      <w:r w:rsidRPr="005757E1">
        <w:rPr>
          <w:rFonts w:ascii="Arial" w:hAnsi="Arial" w:cs="Arial"/>
          <w:b/>
          <w:bCs/>
          <w:sz w:val="20"/>
          <w:szCs w:val="28"/>
        </w:rPr>
        <w:t>740 319,01 tis. Kč</w:t>
      </w:r>
      <w:r w:rsidRPr="005757E1">
        <w:rPr>
          <w:rFonts w:ascii="Arial" w:hAnsi="Arial" w:cs="Arial"/>
          <w:sz w:val="20"/>
          <w:szCs w:val="28"/>
        </w:rPr>
        <w:t xml:space="preserve"> a k 31. 12. 2024 byly naplněny na 142,79 %.</w:t>
      </w:r>
    </w:p>
    <w:p w14:paraId="5D1042B3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Jejich výše byla dána zejména:</w:t>
      </w:r>
    </w:p>
    <w:p w14:paraId="53DBC224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přijatými úroky 307 629,82 tis. Kč,</w:t>
      </w:r>
    </w:p>
    <w:p w14:paraId="30B3B53F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splátkami půjčených prostředků 191 857,19 tis. Kč,</w:t>
      </w:r>
    </w:p>
    <w:p w14:paraId="793D0760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přijatými vratkami transferů a ostatními příjmy z finančního vypořádání 104 309,86 tis. Kč,</w:t>
      </w:r>
    </w:p>
    <w:p w14:paraId="3550F7BE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odvody příspěvkových organizací 97 176,60 tis. Kč,</w:t>
      </w:r>
    </w:p>
    <w:p w14:paraId="7E3D1640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přijatými neinvestičními příspěvky a náhradami 11 655,91 tis. Kč,</w:t>
      </w:r>
    </w:p>
    <w:p w14:paraId="088B9A7A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přijatými sankčními platbami 9 664,20 tis. Kč,</w:t>
      </w:r>
    </w:p>
    <w:p w14:paraId="6EB1EC4C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příjmy z vlastní činnosti (olympiáda dětí a mládeže) 8 429,52 tis. Kč,</w:t>
      </w:r>
    </w:p>
    <w:p w14:paraId="3AC2FF5E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příjmy z pronájmu majetku 4 644,17 tis. Kč,</w:t>
      </w:r>
    </w:p>
    <w:p w14:paraId="65CB9861" w14:textId="77777777" w:rsidR="00567A11" w:rsidRPr="005757E1" w:rsidRDefault="00567A11" w:rsidP="005757E1">
      <w:pPr>
        <w:spacing w:after="120"/>
        <w:ind w:firstLine="425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příjmy z pojistných plnění 4 594,40 tis. Kč.</w:t>
      </w:r>
    </w:p>
    <w:p w14:paraId="4EA1BC45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Kapitálové příjmy</w:t>
      </w:r>
      <w:r w:rsidRPr="005757E1">
        <w:rPr>
          <w:rFonts w:ascii="Arial" w:hAnsi="Arial" w:cs="Arial"/>
          <w:sz w:val="20"/>
          <w:szCs w:val="28"/>
        </w:rPr>
        <w:t xml:space="preserve"> ve výši </w:t>
      </w:r>
      <w:r w:rsidRPr="005757E1">
        <w:rPr>
          <w:rFonts w:ascii="Arial" w:hAnsi="Arial" w:cs="Arial"/>
          <w:b/>
          <w:bCs/>
          <w:sz w:val="20"/>
          <w:szCs w:val="28"/>
        </w:rPr>
        <w:t>7 396,06 tis. Kč</w:t>
      </w:r>
      <w:r w:rsidRPr="005757E1">
        <w:rPr>
          <w:rFonts w:ascii="Arial" w:hAnsi="Arial" w:cs="Arial"/>
          <w:sz w:val="20"/>
          <w:szCs w:val="28"/>
        </w:rPr>
        <w:t xml:space="preserve"> tvořily příjmy z prodeje pozemků a ostatních nemovitostí včetně jejich částí a k 31. 12. 2024 byly naplněny na </w:t>
      </w:r>
      <w:r w:rsidRPr="005757E1">
        <w:rPr>
          <w:rFonts w:ascii="Arial" w:hAnsi="Arial" w:cs="Arial"/>
          <w:b/>
          <w:bCs/>
          <w:sz w:val="20"/>
          <w:szCs w:val="28"/>
        </w:rPr>
        <w:t>171,18</w:t>
      </w:r>
      <w:r w:rsidRPr="005757E1">
        <w:rPr>
          <w:rFonts w:ascii="Arial" w:hAnsi="Arial" w:cs="Arial"/>
          <w:sz w:val="20"/>
          <w:szCs w:val="28"/>
        </w:rPr>
        <w:t xml:space="preserve"> </w:t>
      </w:r>
      <w:r w:rsidRPr="005757E1">
        <w:rPr>
          <w:rFonts w:ascii="Arial" w:hAnsi="Arial" w:cs="Arial"/>
          <w:b/>
          <w:bCs/>
          <w:sz w:val="20"/>
          <w:szCs w:val="28"/>
        </w:rPr>
        <w:t>%</w:t>
      </w:r>
      <w:r w:rsidRPr="005757E1">
        <w:rPr>
          <w:rFonts w:ascii="Arial" w:hAnsi="Arial" w:cs="Arial"/>
          <w:sz w:val="20"/>
          <w:szCs w:val="28"/>
        </w:rPr>
        <w:t>.</w:t>
      </w:r>
    </w:p>
    <w:p w14:paraId="2DC086A6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Přijaté transfery</w:t>
      </w:r>
      <w:r w:rsidRPr="005757E1">
        <w:rPr>
          <w:rFonts w:ascii="Arial" w:hAnsi="Arial" w:cs="Arial"/>
          <w:sz w:val="20"/>
          <w:szCs w:val="28"/>
        </w:rPr>
        <w:t xml:space="preserve"> v objemu </w:t>
      </w:r>
      <w:r w:rsidRPr="005757E1">
        <w:rPr>
          <w:rFonts w:ascii="Arial" w:hAnsi="Arial" w:cs="Arial"/>
          <w:b/>
          <w:bCs/>
          <w:sz w:val="20"/>
          <w:szCs w:val="28"/>
        </w:rPr>
        <w:t>15 741 173,09 tis. Kč</w:t>
      </w:r>
      <w:r w:rsidRPr="005757E1">
        <w:rPr>
          <w:rFonts w:ascii="Arial" w:hAnsi="Arial" w:cs="Arial"/>
          <w:sz w:val="20"/>
          <w:szCs w:val="28"/>
        </w:rPr>
        <w:t xml:space="preserve"> byly k 31. 12. 2024 naplněny na </w:t>
      </w:r>
      <w:r w:rsidRPr="005757E1">
        <w:rPr>
          <w:rFonts w:ascii="Arial" w:hAnsi="Arial" w:cs="Arial"/>
          <w:b/>
          <w:bCs/>
          <w:sz w:val="20"/>
          <w:szCs w:val="28"/>
        </w:rPr>
        <w:t>100,00 %</w:t>
      </w:r>
      <w:r w:rsidRPr="005757E1">
        <w:rPr>
          <w:rFonts w:ascii="Arial" w:hAnsi="Arial" w:cs="Arial"/>
          <w:sz w:val="20"/>
          <w:szCs w:val="28"/>
        </w:rPr>
        <w:t xml:space="preserve">. Rozhodující objem tvoří ostatní neinvestiční transfery ze státního rozpočtu ve výši </w:t>
      </w:r>
      <w:r w:rsidRPr="005757E1">
        <w:rPr>
          <w:rFonts w:ascii="Arial" w:hAnsi="Arial" w:cs="Arial"/>
          <w:b/>
          <w:bCs/>
          <w:sz w:val="20"/>
          <w:szCs w:val="28"/>
        </w:rPr>
        <w:t>14 461 915,17 tis. Kč</w:t>
      </w:r>
      <w:r w:rsidRPr="005757E1">
        <w:rPr>
          <w:rFonts w:ascii="Arial" w:hAnsi="Arial" w:cs="Arial"/>
          <w:sz w:val="20"/>
          <w:szCs w:val="28"/>
        </w:rPr>
        <w:t>, z nichž nejvyšší podíl představuje dotace MŠMT na přímé náklady na vzdělávání (11 777 245,57 tis. Kč). K dalším významným transferům, přijatým v roce 2024, patří zejména neinvestiční dotace na sociální služby (1 660 830,00 tis. Kč).</w:t>
      </w:r>
    </w:p>
    <w:p w14:paraId="4DFA5124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Souhrn</w:t>
      </w:r>
      <w:r w:rsidRPr="005757E1">
        <w:rPr>
          <w:rFonts w:ascii="Arial" w:hAnsi="Arial" w:cs="Arial"/>
          <w:sz w:val="20"/>
          <w:szCs w:val="28"/>
        </w:rPr>
        <w:t xml:space="preserve"> daňových, nedaňových a kapitálových příjmů tvoří </w:t>
      </w:r>
      <w:r w:rsidRPr="005757E1">
        <w:rPr>
          <w:rFonts w:ascii="Arial" w:hAnsi="Arial" w:cs="Arial"/>
          <w:b/>
          <w:bCs/>
          <w:sz w:val="20"/>
          <w:szCs w:val="28"/>
        </w:rPr>
        <w:t>vlastní příjmy kraje</w:t>
      </w:r>
      <w:r w:rsidRPr="005757E1">
        <w:rPr>
          <w:rFonts w:ascii="Arial" w:hAnsi="Arial" w:cs="Arial"/>
          <w:sz w:val="20"/>
          <w:szCs w:val="28"/>
        </w:rPr>
        <w:t xml:space="preserve">, které k 31. 12. 2024 představují objem </w:t>
      </w:r>
      <w:r w:rsidRPr="005757E1">
        <w:rPr>
          <w:rFonts w:ascii="Arial" w:hAnsi="Arial" w:cs="Arial"/>
          <w:b/>
          <w:bCs/>
          <w:sz w:val="20"/>
          <w:szCs w:val="28"/>
        </w:rPr>
        <w:t>10 414 516,43 tis. Kč</w:t>
      </w:r>
      <w:r w:rsidRPr="005757E1">
        <w:rPr>
          <w:rFonts w:ascii="Arial" w:hAnsi="Arial" w:cs="Arial"/>
          <w:sz w:val="20"/>
          <w:szCs w:val="28"/>
        </w:rPr>
        <w:t xml:space="preserve">. Výrazně převažující částí (91,86 %) těchto vlastních příjmů jsou </w:t>
      </w:r>
      <w:r w:rsidRPr="005757E1">
        <w:rPr>
          <w:rFonts w:ascii="Arial" w:hAnsi="Arial" w:cs="Arial"/>
          <w:b/>
          <w:bCs/>
          <w:sz w:val="20"/>
          <w:szCs w:val="28"/>
        </w:rPr>
        <w:t>příjmy ze sdílených daní</w:t>
      </w:r>
      <w:r w:rsidRPr="005757E1">
        <w:rPr>
          <w:rFonts w:ascii="Arial" w:hAnsi="Arial" w:cs="Arial"/>
          <w:sz w:val="20"/>
          <w:szCs w:val="28"/>
        </w:rPr>
        <w:t xml:space="preserve"> (tabulka č. 5), které kraj inkasuje dle zákona č. 243/2000 Sb., o rozpočtovém určení daní, a které k uvedenému datu činily </w:t>
      </w:r>
      <w:r w:rsidRPr="005757E1">
        <w:rPr>
          <w:rFonts w:ascii="Arial" w:hAnsi="Arial" w:cs="Arial"/>
          <w:b/>
          <w:bCs/>
          <w:sz w:val="20"/>
          <w:szCs w:val="28"/>
        </w:rPr>
        <w:t>9 567 715,89 tis. Kč</w:t>
      </w:r>
      <w:r w:rsidRPr="005757E1">
        <w:rPr>
          <w:rFonts w:ascii="Arial" w:hAnsi="Arial" w:cs="Arial"/>
          <w:sz w:val="20"/>
          <w:szCs w:val="28"/>
        </w:rPr>
        <w:t>.</w:t>
      </w:r>
    </w:p>
    <w:p w14:paraId="1707ACD2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Přehled o </w:t>
      </w:r>
      <w:r w:rsidRPr="005757E1">
        <w:rPr>
          <w:rFonts w:ascii="Arial" w:hAnsi="Arial" w:cs="Arial"/>
          <w:b/>
          <w:bCs/>
          <w:sz w:val="20"/>
          <w:szCs w:val="28"/>
        </w:rPr>
        <w:t>příjmech z jednotlivých sdílených daní</w:t>
      </w:r>
      <w:r w:rsidRPr="005757E1">
        <w:rPr>
          <w:rFonts w:ascii="Arial" w:hAnsi="Arial" w:cs="Arial"/>
          <w:sz w:val="20"/>
          <w:szCs w:val="28"/>
        </w:rPr>
        <w:t xml:space="preserve"> za rok 2024 je zřejmý z následující tabulky:</w:t>
      </w:r>
    </w:p>
    <w:p w14:paraId="1C7DA67E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</w:p>
    <w:p w14:paraId="1B68FE13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Tabulka č. 5: Příjmy ze sdílených daní k 31. 12. 2024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701"/>
        <w:gridCol w:w="992"/>
      </w:tblGrid>
      <w:tr w:rsidR="00567A11" w:rsidRPr="005757E1" w14:paraId="4F976F97" w14:textId="77777777" w:rsidTr="005757E1">
        <w:trPr>
          <w:trHeight w:val="658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5E7F1A0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E2D4EFB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Schválený rozpočet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B3BD471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Upravený rozpočet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151C40D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Skutečnost</w:t>
            </w:r>
          </w:p>
          <w:p w14:paraId="38DAE7C3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30. 6. 2024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0F9F0CB" w14:textId="77777777" w:rsidR="00567A11" w:rsidRPr="005757E1" w:rsidRDefault="00567A11" w:rsidP="005757E1">
            <w:pPr>
              <w:jc w:val="center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% plnění UR</w:t>
            </w:r>
          </w:p>
        </w:tc>
      </w:tr>
      <w:tr w:rsidR="00567A11" w:rsidRPr="005757E1" w14:paraId="2CE5A7BE" w14:textId="77777777" w:rsidTr="005757E1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A0D782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DP fyzických osob placená plátci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88665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1 560 000,00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C8A76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1 560 000,00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A3A83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1 684 615,38    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337A4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107,99</w:t>
            </w:r>
          </w:p>
        </w:tc>
      </w:tr>
      <w:tr w:rsidR="00567A11" w:rsidRPr="005757E1" w14:paraId="33C4EA2B" w14:textId="77777777" w:rsidTr="005757E1">
        <w:trPr>
          <w:trHeight w:val="34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EA3C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DP fyzických osob placená poplatníky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BAD6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A90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CF67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127 161,37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9C66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105,97</w:t>
            </w:r>
          </w:p>
        </w:tc>
      </w:tr>
      <w:tr w:rsidR="00567A11" w:rsidRPr="005757E1" w14:paraId="1C9F84D5" w14:textId="77777777" w:rsidTr="005757E1">
        <w:trPr>
          <w:trHeight w:val="34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9CA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DP fyzických osob vybíraná srážkou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9FE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37E2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94F8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395 133,65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CCF5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123,48</w:t>
            </w:r>
          </w:p>
        </w:tc>
      </w:tr>
      <w:tr w:rsidR="00567A11" w:rsidRPr="005757E1" w14:paraId="62C996DC" w14:textId="77777777" w:rsidTr="005757E1">
        <w:trPr>
          <w:trHeight w:val="34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B134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 xml:space="preserve">DP právnických osob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D8D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0F8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2 600 000,00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1400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2 451 847,44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08EE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94,30</w:t>
            </w:r>
          </w:p>
        </w:tc>
      </w:tr>
      <w:tr w:rsidR="00567A11" w:rsidRPr="005757E1" w14:paraId="77EEC67A" w14:textId="77777777" w:rsidTr="005757E1">
        <w:trPr>
          <w:trHeight w:val="34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4E43" w14:textId="77777777" w:rsidR="00567A11" w:rsidRPr="005757E1" w:rsidRDefault="00567A11" w:rsidP="005757E1">
            <w:pPr>
              <w:jc w:val="both"/>
              <w:rPr>
                <w:rFonts w:ascii="Arial" w:hAnsi="Arial"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i/>
                <w:iCs/>
                <w:sz w:val="20"/>
                <w:szCs w:val="28"/>
              </w:rPr>
              <w:t>Daň z přidané hodnoty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401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DE2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DE5A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4 908 958,06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0E85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i/>
                <w:iCs/>
                <w:sz w:val="20"/>
                <w:szCs w:val="20"/>
              </w:rPr>
              <w:t>98,18</w:t>
            </w:r>
          </w:p>
        </w:tc>
      </w:tr>
      <w:tr w:rsidR="00567A11" w:rsidRPr="005757E1" w14:paraId="6113B814" w14:textId="77777777" w:rsidTr="005757E1">
        <w:trPr>
          <w:trHeight w:val="34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1F13" w14:textId="77777777" w:rsidR="00567A11" w:rsidRPr="005757E1" w:rsidRDefault="00567A11" w:rsidP="005757E1">
            <w:pPr>
              <w:jc w:val="both"/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</w:pPr>
            <w:r w:rsidRPr="005757E1">
              <w:rPr>
                <w:rFonts w:ascii="Arial" w:hAnsi="Arial"/>
                <w:b/>
                <w:bCs/>
                <w:i/>
                <w:iCs/>
                <w:sz w:val="20"/>
                <w:szCs w:val="28"/>
              </w:rPr>
              <w:t>Celkem příjmy ze sdílených daní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CCFB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20D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C088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9 567 715,89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0A02" w14:textId="77777777" w:rsidR="00567A11" w:rsidRPr="005757E1" w:rsidRDefault="00567A11" w:rsidP="005757E1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757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99,66</w:t>
            </w:r>
          </w:p>
        </w:tc>
      </w:tr>
    </w:tbl>
    <w:p w14:paraId="4C89D0CD" w14:textId="77777777" w:rsidR="00567A11" w:rsidRPr="005757E1" w:rsidRDefault="00567A11" w:rsidP="005757E1">
      <w:pPr>
        <w:spacing w:after="120"/>
        <w:jc w:val="both"/>
        <w:rPr>
          <w:rFonts w:ascii="Arial" w:hAnsi="Arial"/>
          <w:b/>
          <w:bCs/>
          <w:sz w:val="20"/>
          <w:szCs w:val="28"/>
        </w:rPr>
      </w:pPr>
    </w:p>
    <w:p w14:paraId="5E1C13C6" w14:textId="77777777" w:rsidR="00567A1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</w:p>
    <w:p w14:paraId="762F81D2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 xml:space="preserve">Graf č. 2: Podíl jednotlivých sdílených daní k 31. 12. 2024 (v tis. Kč) </w:t>
      </w:r>
    </w:p>
    <w:p w14:paraId="17944EE7" w14:textId="77777777" w:rsidR="00567A11" w:rsidRPr="005757E1" w:rsidRDefault="00567A11" w:rsidP="005757E1">
      <w:pPr>
        <w:spacing w:after="120"/>
        <w:contextualSpacing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noProof/>
          <w:sz w:val="20"/>
          <w:szCs w:val="28"/>
        </w:rPr>
        <w:pict w14:anchorId="47F35F68">
          <v:shape id="obrázek 6" o:spid="_x0000_i1029" type="#_x0000_t75" style="width:483pt;height:235.2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">
            <v:imagedata r:id="rId10" o:title=""/>
            <o:lock v:ext="edit" aspectratio="f"/>
          </v:shape>
        </w:pict>
      </w:r>
    </w:p>
    <w:p w14:paraId="2FA39FE7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b/>
          <w:bCs/>
          <w:sz w:val="20"/>
          <w:szCs w:val="28"/>
        </w:rPr>
      </w:pPr>
    </w:p>
    <w:p w14:paraId="333A2C4C" w14:textId="77777777" w:rsidR="00567A11" w:rsidRDefault="00567A11" w:rsidP="005757E1">
      <w:pPr>
        <w:contextualSpacing/>
        <w:jc w:val="both"/>
        <w:rPr>
          <w:rFonts w:ascii="Arial" w:hAnsi="Arial" w:cs="Arial"/>
          <w:b/>
          <w:bCs/>
          <w:sz w:val="20"/>
          <w:szCs w:val="28"/>
        </w:rPr>
      </w:pPr>
    </w:p>
    <w:p w14:paraId="59C22F1B" w14:textId="77777777" w:rsidR="00567A11" w:rsidRDefault="00567A11" w:rsidP="005757E1">
      <w:pPr>
        <w:contextualSpacing/>
        <w:jc w:val="both"/>
        <w:rPr>
          <w:rFonts w:ascii="Arial" w:hAnsi="Arial" w:cs="Arial"/>
          <w:b/>
          <w:bCs/>
          <w:sz w:val="20"/>
          <w:szCs w:val="28"/>
        </w:rPr>
      </w:pPr>
    </w:p>
    <w:p w14:paraId="0996144D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Běžné výdaje</w:t>
      </w:r>
      <w:r w:rsidRPr="005757E1">
        <w:rPr>
          <w:rFonts w:ascii="Arial" w:hAnsi="Arial" w:cs="Arial"/>
          <w:sz w:val="20"/>
          <w:szCs w:val="28"/>
        </w:rPr>
        <w:t xml:space="preserve"> v objemu </w:t>
      </w:r>
      <w:r w:rsidRPr="005757E1">
        <w:rPr>
          <w:rFonts w:ascii="Arial" w:hAnsi="Arial" w:cs="Arial"/>
          <w:b/>
          <w:bCs/>
          <w:sz w:val="20"/>
          <w:szCs w:val="28"/>
        </w:rPr>
        <w:t>21 145 800,64 tis. Kč</w:t>
      </w:r>
      <w:r w:rsidRPr="005757E1">
        <w:rPr>
          <w:rFonts w:ascii="Arial" w:hAnsi="Arial" w:cs="Arial"/>
          <w:sz w:val="20"/>
          <w:szCs w:val="28"/>
        </w:rPr>
        <w:t xml:space="preserve"> byly k 31. 12. 2024 čerpány na </w:t>
      </w:r>
      <w:r w:rsidRPr="005757E1">
        <w:rPr>
          <w:rFonts w:ascii="Arial" w:hAnsi="Arial" w:cs="Arial"/>
          <w:b/>
          <w:bCs/>
          <w:sz w:val="20"/>
          <w:szCs w:val="28"/>
        </w:rPr>
        <w:t>98,13 %</w:t>
      </w:r>
      <w:r w:rsidRPr="005757E1">
        <w:rPr>
          <w:rFonts w:ascii="Arial" w:hAnsi="Arial" w:cs="Arial"/>
          <w:sz w:val="20"/>
          <w:szCs w:val="28"/>
        </w:rPr>
        <w:t xml:space="preserve"> upraveného rozpočtu. Nejvýznamnějšími výdajovými položkami byly:</w:t>
      </w:r>
    </w:p>
    <w:p w14:paraId="5D957A41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obcím a jejich zřizovaným organizacím 8 161 389,38 tis. Kč,</w:t>
      </w:r>
    </w:p>
    <w:p w14:paraId="4A7FF6DD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zřízeným příspěvkovým organizacím kraje 7 906 562,88 tis. Kč,</w:t>
      </w:r>
    </w:p>
    <w:p w14:paraId="2A2E61AA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soukromoprávním subjektům (právnické osoby, spolky, obecně prospěšné společnosti, neziskové organizace apod.) 3 778 439,50 tis. Kč,</w:t>
      </w:r>
    </w:p>
    <w:p w14:paraId="50658761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platy, odměny a související odvody 385 890,02 tis. Kč,</w:t>
      </w:r>
    </w:p>
    <w:p w14:paraId="62077F29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nákup služeb 270 169,58 tis. Kč,</w:t>
      </w:r>
    </w:p>
    <w:p w14:paraId="54A62973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veřejným rozpočtům (platba daní, poplatků, finanční vypořádání) 146 078,67 tis. Kč,</w:t>
      </w:r>
    </w:p>
    <w:p w14:paraId="05910DA7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 xml:space="preserve">neinvestiční půjčené prostředky 125 779,57 tis. Kč, </w:t>
      </w:r>
    </w:p>
    <w:p w14:paraId="28C57039" w14:textId="77777777" w:rsidR="00567A11" w:rsidRPr="005757E1" w:rsidRDefault="00567A11" w:rsidP="00567A11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opravy a udržování 115 840,07 tis. Kč, </w:t>
      </w:r>
    </w:p>
    <w:p w14:paraId="396F0928" w14:textId="77777777" w:rsidR="00567A11" w:rsidRPr="005757E1" w:rsidRDefault="00567A11" w:rsidP="00567A11">
      <w:pPr>
        <w:numPr>
          <w:ilvl w:val="0"/>
          <w:numId w:val="12"/>
        </w:num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transfery krajům 109 204,90 tis. Kč,</w:t>
      </w:r>
    </w:p>
    <w:p w14:paraId="73BF2430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poskytnuté náhrady (náhrady škod způsobených zvláště chráněnými živočichy a ubytování občanů Ukrajiny) 47 708,50 tis. Kč,</w:t>
      </w:r>
    </w:p>
    <w:p w14:paraId="06DC2B6B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nákup materiálu 39 628,26 tis. Kč,</w:t>
      </w:r>
    </w:p>
    <w:p w14:paraId="477A6397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dary a transfery obyvatelstvu 25 104,60 tis. Kč,</w:t>
      </w:r>
    </w:p>
    <w:p w14:paraId="3D4B68C7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nákup vody, paliv a energie 13 379,42 tis. Kč,</w:t>
      </w:r>
    </w:p>
    <w:p w14:paraId="10FF7ABB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pohoštění 11 350,38 tis. Kč,</w:t>
      </w:r>
    </w:p>
    <w:p w14:paraId="341402A5" w14:textId="77777777" w:rsidR="00567A11" w:rsidRPr="005757E1" w:rsidRDefault="00567A11" w:rsidP="00567A11">
      <w:pPr>
        <w:numPr>
          <w:ilvl w:val="0"/>
          <w:numId w:val="13"/>
        </w:num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cestovné 3 406,23 tis. Kč,</w:t>
      </w:r>
    </w:p>
    <w:p w14:paraId="7EB63BF2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ostatní nákupy j. n. 1 450,21 tis. Kč,</w:t>
      </w:r>
    </w:p>
    <w:p w14:paraId="3026A21C" w14:textId="77777777" w:rsidR="00567A11" w:rsidRPr="005757E1" w:rsidRDefault="00567A11" w:rsidP="005757E1">
      <w:p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veřejným vysokým školám 1 040,00 tis. Kč.</w:t>
      </w:r>
    </w:p>
    <w:p w14:paraId="5525D4ED" w14:textId="77777777" w:rsidR="00567A11" w:rsidRPr="005757E1" w:rsidRDefault="00567A11" w:rsidP="005757E1">
      <w:pPr>
        <w:spacing w:after="120"/>
        <w:contextualSpacing/>
        <w:jc w:val="both"/>
        <w:rPr>
          <w:rFonts w:ascii="Arial" w:hAnsi="Arial" w:cs="Arial"/>
          <w:sz w:val="20"/>
          <w:szCs w:val="28"/>
        </w:rPr>
      </w:pPr>
    </w:p>
    <w:p w14:paraId="27667040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b/>
          <w:bCs/>
          <w:sz w:val="20"/>
          <w:szCs w:val="28"/>
        </w:rPr>
        <w:t>Kapitálové výdaje</w:t>
      </w:r>
      <w:r w:rsidRPr="005757E1">
        <w:rPr>
          <w:rFonts w:ascii="Arial" w:hAnsi="Arial" w:cs="Arial"/>
          <w:sz w:val="20"/>
          <w:szCs w:val="28"/>
        </w:rPr>
        <w:t xml:space="preserve"> ve výši </w:t>
      </w:r>
      <w:r w:rsidRPr="005757E1">
        <w:rPr>
          <w:rFonts w:ascii="Arial" w:hAnsi="Arial" w:cs="Arial"/>
          <w:b/>
          <w:bCs/>
          <w:sz w:val="20"/>
          <w:szCs w:val="28"/>
        </w:rPr>
        <w:t>4 324 511,30 tis. Kč</w:t>
      </w:r>
      <w:r w:rsidRPr="005757E1">
        <w:rPr>
          <w:rFonts w:ascii="Arial" w:hAnsi="Arial" w:cs="Arial"/>
          <w:sz w:val="20"/>
          <w:szCs w:val="28"/>
        </w:rPr>
        <w:t xml:space="preserve"> byly k 31. 12. 2024 čerpány na </w:t>
      </w:r>
      <w:r w:rsidRPr="005757E1">
        <w:rPr>
          <w:rFonts w:ascii="Arial" w:hAnsi="Arial" w:cs="Arial"/>
          <w:b/>
          <w:bCs/>
          <w:sz w:val="20"/>
          <w:szCs w:val="28"/>
        </w:rPr>
        <w:t>89,46 %</w:t>
      </w:r>
      <w:r w:rsidRPr="005757E1">
        <w:rPr>
          <w:rFonts w:ascii="Arial" w:hAnsi="Arial" w:cs="Arial"/>
          <w:sz w:val="20"/>
          <w:szCs w:val="28"/>
        </w:rPr>
        <w:t xml:space="preserve"> upraveného rozpočtu, přičemž se jednalo o následující výdaje:</w:t>
      </w:r>
    </w:p>
    <w:p w14:paraId="1FED0D29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pořízení dlouhodobého hmotného majetku 2 365 071,30 tis. Kč,</w:t>
      </w:r>
    </w:p>
    <w:p w14:paraId="641EA36D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zřízeným příspěvkovým organizacím 846 947,41 tis. Kč,</w:t>
      </w:r>
    </w:p>
    <w:p w14:paraId="06707C05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transfery obcím 391 193,03 tis. Kč,</w:t>
      </w:r>
    </w:p>
    <w:p w14:paraId="2452831E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půjčené prostředky zřízeným příspěvkovým organizacím 214 863,08 tis. Kč,</w:t>
      </w:r>
    </w:p>
    <w:p w14:paraId="0C7CCB53" w14:textId="77777777" w:rsidR="00567A11" w:rsidRPr="005757E1" w:rsidRDefault="00567A11" w:rsidP="00567A11">
      <w:pPr>
        <w:numPr>
          <w:ilvl w:val="0"/>
          <w:numId w:val="13"/>
        </w:numPr>
        <w:ind w:left="851" w:hanging="425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nákup akcií a majetkových podílů 177 500,00 tis. Kč,</w:t>
      </w:r>
    </w:p>
    <w:p w14:paraId="2A90F630" w14:textId="77777777" w:rsidR="00567A11" w:rsidRPr="005757E1" w:rsidRDefault="00567A11" w:rsidP="00567A11">
      <w:pPr>
        <w:numPr>
          <w:ilvl w:val="0"/>
          <w:numId w:val="13"/>
        </w:num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transfery soukromoprávním subjektům (fyzické a právnické osoby, spolky…) 119 484,81 tis. Kč,</w:t>
      </w:r>
    </w:p>
    <w:p w14:paraId="16414A69" w14:textId="77777777" w:rsidR="00567A11" w:rsidRPr="005757E1" w:rsidRDefault="00567A11" w:rsidP="00567A11">
      <w:pPr>
        <w:numPr>
          <w:ilvl w:val="0"/>
          <w:numId w:val="13"/>
        </w:numPr>
        <w:ind w:left="851" w:hanging="425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transfery nepodnikajícím fyzickým osobám (Nová zelená úsporám) 85 860,06 tis. Kč,</w:t>
      </w:r>
    </w:p>
    <w:p w14:paraId="61D04FBF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 xml:space="preserve">pořízení dlouhodobého nehmotného majetku 84 936,49 tis. Kč, </w:t>
      </w:r>
    </w:p>
    <w:p w14:paraId="0F9035AC" w14:textId="77777777" w:rsidR="00567A11" w:rsidRPr="005757E1" w:rsidRDefault="00567A11" w:rsidP="005757E1">
      <w:pPr>
        <w:ind w:firstLine="426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•</w:t>
      </w:r>
      <w:r w:rsidRPr="005757E1">
        <w:rPr>
          <w:rFonts w:ascii="Arial" w:hAnsi="Arial" w:cs="Arial"/>
          <w:sz w:val="20"/>
          <w:szCs w:val="28"/>
        </w:rPr>
        <w:tab/>
        <w:t>pozemky 38 655,11 tis. Kč.</w:t>
      </w:r>
    </w:p>
    <w:p w14:paraId="2A67AE73" w14:textId="77777777" w:rsidR="00567A11" w:rsidRPr="00B02B1C" w:rsidRDefault="00567A11" w:rsidP="005757E1">
      <w:pPr>
        <w:spacing w:after="120"/>
        <w:contextualSpacing/>
        <w:jc w:val="both"/>
        <w:rPr>
          <w:rFonts w:ascii="Arial" w:hAnsi="Arial" w:cs="Arial"/>
          <w:sz w:val="20"/>
          <w:szCs w:val="28"/>
        </w:rPr>
      </w:pPr>
    </w:p>
    <w:p w14:paraId="669C36A2" w14:textId="77777777" w:rsidR="00567A11" w:rsidRPr="00B02B1C" w:rsidRDefault="00567A11" w:rsidP="005757E1">
      <w:pPr>
        <w:spacing w:after="120"/>
        <w:jc w:val="both"/>
        <w:rPr>
          <w:rFonts w:ascii="Arial" w:hAnsi="Arial" w:cs="Arial"/>
          <w:sz w:val="20"/>
          <w:szCs w:val="28"/>
        </w:rPr>
      </w:pPr>
      <w:r w:rsidRPr="00B02B1C">
        <w:rPr>
          <w:rFonts w:ascii="Arial" w:hAnsi="Arial" w:cs="Arial"/>
          <w:b/>
          <w:bCs/>
          <w:sz w:val="20"/>
          <w:szCs w:val="28"/>
        </w:rPr>
        <w:t>Nedočerpané kapitálové výdaje</w:t>
      </w:r>
      <w:r w:rsidRPr="00B02B1C">
        <w:rPr>
          <w:rFonts w:ascii="Arial" w:hAnsi="Arial" w:cs="Arial"/>
          <w:sz w:val="20"/>
          <w:szCs w:val="28"/>
        </w:rPr>
        <w:t xml:space="preserve"> v celkovém objemu </w:t>
      </w:r>
      <w:r w:rsidRPr="00B02B1C">
        <w:rPr>
          <w:rFonts w:ascii="Arial" w:hAnsi="Arial" w:cs="Arial"/>
          <w:b/>
          <w:bCs/>
          <w:sz w:val="20"/>
          <w:szCs w:val="28"/>
        </w:rPr>
        <w:t>509 755,87 tis. Kč</w:t>
      </w:r>
      <w:r w:rsidRPr="00B02B1C">
        <w:rPr>
          <w:rFonts w:ascii="Arial" w:hAnsi="Arial" w:cs="Arial"/>
          <w:sz w:val="20"/>
          <w:szCs w:val="28"/>
        </w:rPr>
        <w:t xml:space="preserve"> představují </w:t>
      </w:r>
      <w:r w:rsidRPr="00B02B1C">
        <w:rPr>
          <w:rFonts w:ascii="Arial" w:hAnsi="Arial" w:cs="Arial"/>
          <w:b/>
          <w:bCs/>
          <w:sz w:val="20"/>
          <w:szCs w:val="28"/>
        </w:rPr>
        <w:t>10,54 %</w:t>
      </w:r>
      <w:r w:rsidRPr="00B02B1C">
        <w:rPr>
          <w:rFonts w:ascii="Arial" w:hAnsi="Arial" w:cs="Arial"/>
          <w:sz w:val="20"/>
          <w:szCs w:val="28"/>
        </w:rPr>
        <w:t xml:space="preserve"> upraveného rozpočtu. </w:t>
      </w:r>
    </w:p>
    <w:p w14:paraId="11E8E249" w14:textId="77777777" w:rsidR="00567A11" w:rsidRPr="005757E1" w:rsidRDefault="00567A11" w:rsidP="005757E1">
      <w:pPr>
        <w:spacing w:after="120"/>
        <w:jc w:val="both"/>
        <w:rPr>
          <w:rFonts w:ascii="Arial" w:hAnsi="Arial" w:cs="Arial"/>
          <w:b/>
          <w:bCs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 xml:space="preserve">Nejvýznamnější </w:t>
      </w:r>
      <w:r w:rsidRPr="005757E1">
        <w:rPr>
          <w:rFonts w:ascii="Arial" w:hAnsi="Arial" w:cs="Arial"/>
          <w:b/>
          <w:bCs/>
          <w:sz w:val="20"/>
          <w:szCs w:val="28"/>
        </w:rPr>
        <w:t>nedočerpané a nepřevedené kapitálové výdaje</w:t>
      </w:r>
      <w:r w:rsidRPr="005757E1">
        <w:rPr>
          <w:rFonts w:ascii="Arial" w:hAnsi="Arial" w:cs="Arial"/>
          <w:sz w:val="20"/>
          <w:szCs w:val="28"/>
        </w:rPr>
        <w:t xml:space="preserve">: </w:t>
      </w:r>
    </w:p>
    <w:p w14:paraId="2E3DC08B" w14:textId="77777777" w:rsidR="00567A11" w:rsidRPr="005757E1" w:rsidRDefault="00567A11" w:rsidP="00567A11">
      <w:pPr>
        <w:numPr>
          <w:ilvl w:val="0"/>
          <w:numId w:val="14"/>
        </w:num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nedočerpaná alokace u již ukončených akcí ODSH v návaznosti na úhrady zasmluvněných výdajů (17 124,56 tis. Kč) - mezi nejvýznamnější patří např. „Most ev. č. 105-048 c v Týně nad Vltavou“ (5 580,03 mil. Kč), „Most ev. č. 1325-1 N. Včelnice“ (2 301,26 tis. Kč),</w:t>
      </w:r>
    </w:p>
    <w:p w14:paraId="12106CEA" w14:textId="77777777" w:rsidR="00567A11" w:rsidRPr="005757E1" w:rsidRDefault="00567A11" w:rsidP="00567A11">
      <w:pPr>
        <w:numPr>
          <w:ilvl w:val="0"/>
          <w:numId w:val="14"/>
        </w:num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nevyčerpané prostředky ODSH z důvodu dostatečné alokace rozpočtu 2025 (23 372,96 tis. Kč) - „Rekonstrukce silnice III/1631 a III/1632 - Nová Pec - Zadní Zvonková“ (9 451,41 tis. Kč), „Přeložka silnice II/137 v úseku Slapy“ (3 062,54 mil. Kč), „Křižovatka II/154 a MK - ul. Táboritská“ (2 128,13 tis. Kč), „Úprava nebezpečné křižovatky silnic III/1427 a III/14212 Miloňovice – Sudkovice“ (2 105,25 tis. Kč), „Křižovatka II/145 a III/14132 Lázně sv. Markéty“ (2 152,45 tis. Kč), „Úprava křižovatky III/1721 a III/1722 Katovice“ (2 012,43 tis. Kč), „Rekonstrukce silnice III/13514 Nedvědice – Soběslav“ (1 218,91 mil. Kč), „Protihluková opatření, okna - Větřní“ (1 241,84 mil. Kč),</w:t>
      </w:r>
    </w:p>
    <w:p w14:paraId="1B2F0D60" w14:textId="77777777" w:rsidR="00567A11" w:rsidRPr="005757E1" w:rsidRDefault="00567A11" w:rsidP="00567A11">
      <w:pPr>
        <w:numPr>
          <w:ilvl w:val="0"/>
          <w:numId w:val="14"/>
        </w:num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nedočerpané výdaje spolufinancované z prostředků SFDI za r. 2023 (2 031,76 tis. Kč) z důvodu ukončení realizace a úhrady zasmluvněných výdajů,</w:t>
      </w:r>
    </w:p>
    <w:p w14:paraId="7720D079" w14:textId="77777777" w:rsidR="00567A11" w:rsidRPr="005757E1" w:rsidRDefault="00567A11" w:rsidP="00567A11">
      <w:pPr>
        <w:numPr>
          <w:ilvl w:val="0"/>
          <w:numId w:val="14"/>
        </w:numPr>
        <w:ind w:left="709" w:hanging="283"/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nedočerpaná alokace u již ukončených akcí OVZS (1 784,37 tis. Kč) – zejména „Domov PETRA Mačkov - Dostavba zdravotnického pavilonu, rekonstrukce tepelného hospodářství“ (1 071,32 tis. Kč).</w:t>
      </w:r>
    </w:p>
    <w:p w14:paraId="40EA9F6D" w14:textId="77777777" w:rsidR="00567A11" w:rsidRPr="005757E1" w:rsidRDefault="00567A11" w:rsidP="005757E1">
      <w:pPr>
        <w:ind w:left="426"/>
        <w:contextualSpacing/>
        <w:jc w:val="both"/>
        <w:rPr>
          <w:rFonts w:ascii="Arial" w:hAnsi="Arial" w:cs="Arial"/>
          <w:sz w:val="20"/>
          <w:szCs w:val="28"/>
        </w:rPr>
      </w:pPr>
    </w:p>
    <w:p w14:paraId="03F300FA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1C792B46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Finanční nároky a krytí: nejsou</w:t>
      </w:r>
    </w:p>
    <w:p w14:paraId="6F7DD599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49783F20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  <w:r w:rsidRPr="005757E1">
        <w:rPr>
          <w:rFonts w:ascii="Arial" w:hAnsi="Arial" w:cs="Arial"/>
          <w:sz w:val="20"/>
          <w:szCs w:val="28"/>
        </w:rPr>
        <w:t>Vyjádření správce rozpočtu: předkladatel je centrálním správcem rozpočtu</w:t>
      </w:r>
    </w:p>
    <w:p w14:paraId="251A81DF" w14:textId="77777777" w:rsidR="00567A11" w:rsidRPr="005757E1" w:rsidRDefault="00567A11" w:rsidP="005757E1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04F51A49" w14:textId="77777777" w:rsidR="00567A11" w:rsidRDefault="00567A11" w:rsidP="005757E1">
      <w:pPr>
        <w:contextualSpacing/>
        <w:jc w:val="both"/>
      </w:pPr>
      <w:r w:rsidRPr="005757E1">
        <w:rPr>
          <w:rFonts w:ascii="Arial" w:hAnsi="Arial" w:cs="Arial"/>
          <w:sz w:val="20"/>
          <w:szCs w:val="28"/>
        </w:rPr>
        <w:t xml:space="preserve">Návrh projednán (stanoviska): materiál byl v totožné podobě projednán a vzat na vědomí Radou Jihočeského kraje na jednání dne </w:t>
      </w:r>
      <w:r>
        <w:rPr>
          <w:rFonts w:ascii="Arial" w:hAnsi="Arial" w:cs="Arial"/>
          <w:sz w:val="20"/>
          <w:szCs w:val="28"/>
        </w:rPr>
        <w:t>27</w:t>
      </w:r>
      <w:r w:rsidRPr="005757E1">
        <w:rPr>
          <w:rFonts w:ascii="Arial" w:hAnsi="Arial" w:cs="Arial"/>
          <w:sz w:val="20"/>
          <w:szCs w:val="28"/>
        </w:rPr>
        <w:t xml:space="preserve">. </w:t>
      </w:r>
      <w:r>
        <w:rPr>
          <w:rFonts w:ascii="Arial" w:hAnsi="Arial" w:cs="Arial"/>
          <w:sz w:val="20"/>
          <w:szCs w:val="28"/>
        </w:rPr>
        <w:t>3</w:t>
      </w:r>
      <w:r w:rsidRPr="005757E1">
        <w:rPr>
          <w:rFonts w:ascii="Arial" w:hAnsi="Arial" w:cs="Arial"/>
          <w:sz w:val="20"/>
          <w:szCs w:val="28"/>
        </w:rPr>
        <w:t>. 202</w:t>
      </w:r>
      <w:r>
        <w:rPr>
          <w:rFonts w:ascii="Arial" w:hAnsi="Arial" w:cs="Arial"/>
          <w:sz w:val="20"/>
          <w:szCs w:val="28"/>
        </w:rPr>
        <w:t>5</w:t>
      </w:r>
      <w:r w:rsidRPr="005757E1">
        <w:rPr>
          <w:rFonts w:ascii="Arial" w:hAnsi="Arial" w:cs="Arial"/>
          <w:sz w:val="20"/>
          <w:szCs w:val="28"/>
        </w:rPr>
        <w:t xml:space="preserve"> usnesením č. </w:t>
      </w:r>
      <w:r w:rsidRPr="005C11F1">
        <w:rPr>
          <w:rFonts w:ascii="Arial" w:hAnsi="Arial" w:cs="Arial"/>
          <w:sz w:val="20"/>
          <w:szCs w:val="28"/>
        </w:rPr>
        <w:t>344/2025/RK-10 a</w:t>
      </w:r>
      <w:r w:rsidRPr="005757E1">
        <w:rPr>
          <w:rFonts w:ascii="Arial" w:hAnsi="Arial" w:cs="Arial"/>
          <w:sz w:val="20"/>
          <w:szCs w:val="28"/>
        </w:rPr>
        <w:t xml:space="preserve"> dále byl předložen na</w:t>
      </w:r>
      <w:r>
        <w:rPr>
          <w:rFonts w:ascii="Arial" w:hAnsi="Arial" w:cs="Arial"/>
          <w:sz w:val="20"/>
          <w:szCs w:val="28"/>
        </w:rPr>
        <w:t> </w:t>
      </w:r>
      <w:r w:rsidRPr="000F3E7C">
        <w:rPr>
          <w:rFonts w:ascii="Arial" w:hAnsi="Arial" w:cs="Arial"/>
          <w:sz w:val="20"/>
          <w:szCs w:val="28"/>
        </w:rPr>
        <w:t>3.</w:t>
      </w:r>
      <w:r>
        <w:rPr>
          <w:rFonts w:ascii="Arial" w:hAnsi="Arial" w:cs="Arial"/>
          <w:sz w:val="20"/>
          <w:szCs w:val="28"/>
        </w:rPr>
        <w:t> </w:t>
      </w:r>
      <w:r w:rsidRPr="005757E1">
        <w:rPr>
          <w:rFonts w:ascii="Arial" w:hAnsi="Arial" w:cs="Arial"/>
          <w:sz w:val="20"/>
          <w:szCs w:val="28"/>
        </w:rPr>
        <w:t>jednání Finančního výboru Zastupitelstva Jihočeského kraje dne 1. 4. 202</w:t>
      </w:r>
      <w:r>
        <w:rPr>
          <w:rFonts w:ascii="Arial" w:hAnsi="Arial" w:cs="Arial"/>
          <w:sz w:val="20"/>
          <w:szCs w:val="28"/>
        </w:rPr>
        <w:t>5</w:t>
      </w:r>
      <w:r w:rsidRPr="005757E1">
        <w:rPr>
          <w:rFonts w:ascii="Arial" w:hAnsi="Arial" w:cs="Arial"/>
          <w:sz w:val="20"/>
          <w:szCs w:val="28"/>
        </w:rPr>
        <w:t>.</w:t>
      </w:r>
    </w:p>
    <w:p w14:paraId="49FE26EE" w14:textId="77777777" w:rsidR="00567A11" w:rsidRDefault="00567A11" w:rsidP="005B4BF2">
      <w:pPr>
        <w:pStyle w:val="KUJKnormal"/>
      </w:pPr>
    </w:p>
    <w:p w14:paraId="36284C15" w14:textId="77777777" w:rsidR="00567A11" w:rsidRPr="007939A8" w:rsidRDefault="00567A11" w:rsidP="005B4BF2">
      <w:pPr>
        <w:pStyle w:val="KUJKtucny"/>
      </w:pPr>
      <w:r w:rsidRPr="007939A8">
        <w:t>PŘÍLOHY:</w:t>
      </w:r>
    </w:p>
    <w:p w14:paraId="42FB9061" w14:textId="77777777" w:rsidR="00567A11" w:rsidRPr="00B52AA9" w:rsidRDefault="00567A11" w:rsidP="000F39D4">
      <w:pPr>
        <w:pStyle w:val="KUJKcislovany"/>
      </w:pPr>
      <w:r>
        <w:t>Bilance a přehled vybraných ukazatelů za rok 2024</w:t>
      </w:r>
      <w:r w:rsidRPr="0081756D">
        <w:t xml:space="preserve"> (</w:t>
      </w:r>
      <w:r>
        <w:t>202412_sledovani_rozpoctu.pdf</w:t>
      </w:r>
      <w:r w:rsidRPr="0081756D">
        <w:t>)</w:t>
      </w:r>
    </w:p>
    <w:p w14:paraId="47DEAF68" w14:textId="77777777" w:rsidR="00567A11" w:rsidRPr="00E9080B" w:rsidRDefault="00567A11" w:rsidP="00E9080B">
      <w:pPr>
        <w:pStyle w:val="KUJKcislovany"/>
      </w:pPr>
      <w:r>
        <w:t>Výkaz pro hodnocení plnění rozpočtu územních samosprávných celků, dobrovolných svazků obcí a regionálních rad (Výkaz FIN 2-12M) za období 12/2024</w:t>
      </w:r>
      <w:r w:rsidRPr="0081756D">
        <w:t xml:space="preserve"> (</w:t>
      </w:r>
      <w:r>
        <w:t>Výkaz Fin 2-12M.pdf</w:t>
      </w:r>
      <w:r w:rsidRPr="0081756D">
        <w:t>)</w:t>
      </w:r>
      <w:r>
        <w:t xml:space="preserve"> </w:t>
      </w:r>
      <w:r w:rsidRPr="00E9080B">
        <w:t>– příloha je k dispozici, vzhledem k rozsahu, pouze v elektronické podobě</w:t>
      </w:r>
    </w:p>
    <w:p w14:paraId="44FBFE46" w14:textId="77777777" w:rsidR="00567A11" w:rsidRPr="00B52AA9" w:rsidRDefault="00567A11" w:rsidP="00E9080B">
      <w:pPr>
        <w:pStyle w:val="KUJKcislovany"/>
        <w:numPr>
          <w:ilvl w:val="0"/>
          <w:numId w:val="0"/>
        </w:numPr>
        <w:ind w:left="284"/>
      </w:pPr>
    </w:p>
    <w:p w14:paraId="1256A6F0" w14:textId="77777777" w:rsidR="00567A11" w:rsidRDefault="00567A11" w:rsidP="005B4BF2">
      <w:pPr>
        <w:pStyle w:val="KUJKnormal"/>
      </w:pPr>
    </w:p>
    <w:p w14:paraId="214F010F" w14:textId="77777777" w:rsidR="00567A11" w:rsidRPr="00E9080B" w:rsidRDefault="00567A11" w:rsidP="00E9080B">
      <w:pPr>
        <w:contextualSpacing/>
        <w:jc w:val="both"/>
        <w:rPr>
          <w:rFonts w:ascii="Arial" w:hAnsi="Arial" w:cs="Arial"/>
          <w:b/>
          <w:sz w:val="20"/>
          <w:szCs w:val="28"/>
        </w:rPr>
      </w:pPr>
      <w:r w:rsidRPr="00E9080B">
        <w:rPr>
          <w:rFonts w:ascii="Arial" w:hAnsi="Arial" w:cs="Arial"/>
          <w:b/>
          <w:sz w:val="20"/>
          <w:szCs w:val="28"/>
        </w:rPr>
        <w:t xml:space="preserve">Zodpovídá: </w:t>
      </w:r>
      <w:r w:rsidRPr="00E9080B">
        <w:rPr>
          <w:rFonts w:ascii="Arial" w:hAnsi="Arial" w:cs="Arial"/>
          <w:bCs/>
          <w:sz w:val="20"/>
          <w:szCs w:val="28"/>
        </w:rPr>
        <w:t>vedoucí OEKO - Ing. Ladislav Staněk</w:t>
      </w:r>
    </w:p>
    <w:p w14:paraId="6EE854F1" w14:textId="77777777" w:rsidR="00567A11" w:rsidRPr="00E9080B" w:rsidRDefault="00567A11" w:rsidP="00E9080B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20FA01A" w14:textId="77777777" w:rsidR="00567A11" w:rsidRPr="00E9080B" w:rsidRDefault="00567A11" w:rsidP="00E9080B">
      <w:pPr>
        <w:contextualSpacing/>
        <w:jc w:val="both"/>
        <w:rPr>
          <w:rFonts w:ascii="Arial" w:hAnsi="Arial" w:cs="Arial"/>
          <w:sz w:val="20"/>
          <w:szCs w:val="28"/>
        </w:rPr>
      </w:pPr>
      <w:r w:rsidRPr="00E9080B">
        <w:rPr>
          <w:rFonts w:ascii="Arial" w:hAnsi="Arial" w:cs="Arial"/>
          <w:sz w:val="20"/>
          <w:szCs w:val="28"/>
        </w:rPr>
        <w:t xml:space="preserve">Termín kontroly: </w:t>
      </w:r>
      <w:r>
        <w:rPr>
          <w:rFonts w:ascii="Arial" w:hAnsi="Arial" w:cs="Arial"/>
          <w:sz w:val="20"/>
          <w:szCs w:val="28"/>
        </w:rPr>
        <w:t>10</w:t>
      </w:r>
      <w:r w:rsidRPr="00E9080B">
        <w:rPr>
          <w:rFonts w:ascii="Arial" w:hAnsi="Arial" w:cs="Arial"/>
          <w:sz w:val="20"/>
          <w:szCs w:val="28"/>
        </w:rPr>
        <w:t>. 4. 202</w:t>
      </w:r>
      <w:r>
        <w:rPr>
          <w:rFonts w:ascii="Arial" w:hAnsi="Arial" w:cs="Arial"/>
          <w:sz w:val="20"/>
          <w:szCs w:val="28"/>
        </w:rPr>
        <w:t>5</w:t>
      </w:r>
    </w:p>
    <w:p w14:paraId="0C7DFDB5" w14:textId="77777777" w:rsidR="00567A11" w:rsidRPr="00E9080B" w:rsidRDefault="00567A11" w:rsidP="00E9080B">
      <w:pPr>
        <w:contextualSpacing/>
        <w:jc w:val="both"/>
        <w:rPr>
          <w:rFonts w:ascii="Arial" w:hAnsi="Arial" w:cs="Arial"/>
          <w:sz w:val="20"/>
          <w:szCs w:val="28"/>
        </w:rPr>
      </w:pPr>
      <w:r w:rsidRPr="00E9080B">
        <w:rPr>
          <w:rFonts w:ascii="Arial" w:hAnsi="Arial" w:cs="Arial"/>
          <w:sz w:val="20"/>
          <w:szCs w:val="28"/>
        </w:rPr>
        <w:t xml:space="preserve">Termín splnění: </w:t>
      </w:r>
      <w:r>
        <w:rPr>
          <w:rFonts w:ascii="Arial" w:hAnsi="Arial" w:cs="Arial"/>
          <w:sz w:val="20"/>
          <w:szCs w:val="28"/>
        </w:rPr>
        <w:t>10</w:t>
      </w:r>
      <w:r w:rsidRPr="00E9080B">
        <w:rPr>
          <w:rFonts w:ascii="Arial" w:hAnsi="Arial" w:cs="Arial"/>
          <w:sz w:val="20"/>
          <w:szCs w:val="28"/>
        </w:rPr>
        <w:t>. 4. 202</w:t>
      </w:r>
      <w:r>
        <w:rPr>
          <w:rFonts w:ascii="Arial" w:hAnsi="Arial" w:cs="Arial"/>
          <w:sz w:val="20"/>
          <w:szCs w:val="28"/>
        </w:rPr>
        <w:t>5</w:t>
      </w:r>
    </w:p>
    <w:p w14:paraId="587AD0AF" w14:textId="77777777" w:rsidR="00567A11" w:rsidRDefault="00567A11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11"/>
      <w:headerReference w:type="first" r:id="rId12"/>
      <w:footerReference w:type="first" r:id="rId13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A6E5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A6E5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A78" w14:textId="77777777" w:rsidR="00567A11" w:rsidRDefault="00567A11" w:rsidP="00973BFF">
    <w:r>
      <w:rPr>
        <w:noProof/>
      </w:rPr>
      <w:pict w14:anchorId="6CD40CE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D7DB741" w14:textId="77777777" w:rsidR="00567A11" w:rsidRPr="00D405BE" w:rsidRDefault="00567A11" w:rsidP="006D218A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4AEC10BB" w14:textId="77777777" w:rsidR="00567A11" w:rsidRPr="00D405BE" w:rsidRDefault="00567A11" w:rsidP="006D218A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3564D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D6958BA">
        <v:rect id="_x0000_i1026" style="width:481.9pt;height:2pt" o:hralign="center" o:hrstd="t" o:hrnoshade="t" o:hr="t" fillcolor="black" stroked="f"/>
      </w:pict>
    </w:r>
  </w:p>
  <w:p w14:paraId="27F61ADA" w14:textId="77777777" w:rsidR="00567A11" w:rsidRPr="00567A11" w:rsidRDefault="00567A11" w:rsidP="00567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4701D"/>
    <w:multiLevelType w:val="hybridMultilevel"/>
    <w:tmpl w:val="BB4026E6"/>
    <w:lvl w:ilvl="0" w:tplc="76FE83BA">
      <w:numFmt w:val="bullet"/>
      <w:lvlText w:val="•"/>
      <w:lvlJc w:val="left"/>
      <w:pPr>
        <w:ind w:left="1212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2CAF"/>
    <w:multiLevelType w:val="hybridMultilevel"/>
    <w:tmpl w:val="2054AED6"/>
    <w:lvl w:ilvl="0" w:tplc="76FE83BA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E007F3"/>
    <w:multiLevelType w:val="hybridMultilevel"/>
    <w:tmpl w:val="136431B2"/>
    <w:lvl w:ilvl="0" w:tplc="76FE83BA">
      <w:numFmt w:val="bullet"/>
      <w:lvlText w:val="•"/>
      <w:lvlJc w:val="left"/>
      <w:pPr>
        <w:ind w:left="1212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6"/>
  </w:num>
  <w:num w:numId="7" w16cid:durableId="1986659466">
    <w:abstractNumId w:val="9"/>
  </w:num>
  <w:num w:numId="8" w16cid:durableId="1146972910">
    <w:abstractNumId w:val="7"/>
  </w:num>
  <w:num w:numId="9" w16cid:durableId="1317371545">
    <w:abstractNumId w:val="8"/>
  </w:num>
  <w:num w:numId="10" w16cid:durableId="374937236">
    <w:abstractNumId w:val="11"/>
  </w:num>
  <w:num w:numId="11" w16cid:durableId="1771732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66330">
    <w:abstractNumId w:val="4"/>
  </w:num>
  <w:num w:numId="13" w16cid:durableId="60908740">
    <w:abstractNumId w:val="5"/>
  </w:num>
  <w:num w:numId="14" w16cid:durableId="1359772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7FF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1F99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67A11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C30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jihocesky.cz/index.php/jihocesky-kraj/hospodareni-kraj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2132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2025-04-11T11:26:00Z</dcterms:created>
  <dcterms:modified xsi:type="dcterms:W3CDTF">2025-04-11T11:26:00Z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6773079</vt:i4>
  </property>
  <property fmtid="{D5CDD505-2E9C-101B-9397-08002B2CF9AE}" pid="5" name="UlozitJako">
    <vt:lpwstr>C:\Users\mrazkova\AppData\Local\Temp\iU17860052\Zastupitelstvo\2025-04-10\Navrhy\92-ZK-25.</vt:lpwstr>
  </property>
  <property fmtid="{D5CDD505-2E9C-101B-9397-08002B2CF9AE}" pid="6" name="Zpracovat">
    <vt:bool>false</vt:bool>
  </property>
</Properties>
</file>