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23BAB" w:rsidRPr="008215D3" w14:paraId="71424CD6" w14:textId="77777777" w:rsidTr="002E75F3">
        <w:trPr>
          <w:trHeight w:hRule="exact" w:val="397"/>
        </w:trPr>
        <w:tc>
          <w:tcPr>
            <w:tcW w:w="2376" w:type="dxa"/>
            <w:hideMark/>
          </w:tcPr>
          <w:p w14:paraId="7A0C8600" w14:textId="77777777" w:rsidR="00623BAB" w:rsidRPr="008215D3" w:rsidRDefault="00623BAB" w:rsidP="00970720">
            <w:pPr>
              <w:pStyle w:val="KUJKtucny"/>
              <w:rPr>
                <w:szCs w:val="19"/>
              </w:rPr>
            </w:pPr>
            <w:r w:rsidRPr="008215D3">
              <w:rPr>
                <w:szCs w:val="19"/>
              </w:rPr>
              <w:t>Datum jednání:</w:t>
            </w:r>
          </w:p>
        </w:tc>
        <w:tc>
          <w:tcPr>
            <w:tcW w:w="3828" w:type="dxa"/>
            <w:hideMark/>
          </w:tcPr>
          <w:p w14:paraId="4D7D96AD" w14:textId="77777777" w:rsidR="00623BAB" w:rsidRPr="008215D3" w:rsidRDefault="00623BAB" w:rsidP="00970720">
            <w:pPr>
              <w:pStyle w:val="KUJKnormal"/>
              <w:rPr>
                <w:szCs w:val="19"/>
              </w:rPr>
            </w:pPr>
            <w:r w:rsidRPr="008215D3">
              <w:rPr>
                <w:szCs w:val="19"/>
              </w:rPr>
              <w:t>10. 04. 2025</w:t>
            </w:r>
          </w:p>
        </w:tc>
        <w:tc>
          <w:tcPr>
            <w:tcW w:w="2126" w:type="dxa"/>
            <w:hideMark/>
          </w:tcPr>
          <w:p w14:paraId="660A3B3E" w14:textId="77777777" w:rsidR="00623BAB" w:rsidRPr="008215D3" w:rsidRDefault="00623BAB" w:rsidP="00970720">
            <w:pPr>
              <w:pStyle w:val="KUJKtucny"/>
              <w:rPr>
                <w:szCs w:val="19"/>
              </w:rPr>
            </w:pPr>
            <w:r w:rsidRPr="008215D3">
              <w:rPr>
                <w:szCs w:val="19"/>
              </w:rPr>
              <w:t>Bod programu:</w:t>
            </w:r>
            <w:r>
              <w:rPr>
                <w:szCs w:val="19"/>
              </w:rPr>
              <w:t xml:space="preserve"> </w:t>
            </w:r>
            <w:r w:rsidRPr="008215D3">
              <w:rPr>
                <w:sz w:val="28"/>
              </w:rPr>
              <w:t>3</w:t>
            </w:r>
            <w:r>
              <w:rPr>
                <w:sz w:val="28"/>
              </w:rPr>
              <w:t>9</w:t>
            </w:r>
          </w:p>
        </w:tc>
        <w:tc>
          <w:tcPr>
            <w:tcW w:w="850" w:type="dxa"/>
          </w:tcPr>
          <w:p w14:paraId="318FB5E8" w14:textId="77777777" w:rsidR="00623BAB" w:rsidRPr="008215D3" w:rsidRDefault="00623BAB" w:rsidP="00970720">
            <w:pPr>
              <w:pStyle w:val="KUJKnormal"/>
              <w:rPr>
                <w:szCs w:val="19"/>
              </w:rPr>
            </w:pPr>
          </w:p>
        </w:tc>
      </w:tr>
      <w:tr w:rsidR="00623BAB" w:rsidRPr="008215D3" w14:paraId="1C9F9D79" w14:textId="77777777" w:rsidTr="002E75F3">
        <w:trPr>
          <w:cantSplit/>
          <w:trHeight w:hRule="exact" w:val="397"/>
        </w:trPr>
        <w:tc>
          <w:tcPr>
            <w:tcW w:w="2376" w:type="dxa"/>
            <w:hideMark/>
          </w:tcPr>
          <w:p w14:paraId="178A997E" w14:textId="77777777" w:rsidR="00623BAB" w:rsidRPr="008215D3" w:rsidRDefault="00623BAB" w:rsidP="00970720">
            <w:pPr>
              <w:pStyle w:val="KUJKtucny"/>
              <w:rPr>
                <w:szCs w:val="19"/>
              </w:rPr>
            </w:pPr>
            <w:r w:rsidRPr="008215D3">
              <w:rPr>
                <w:szCs w:val="19"/>
              </w:rPr>
              <w:t>Číslo návrhu:</w:t>
            </w:r>
          </w:p>
        </w:tc>
        <w:tc>
          <w:tcPr>
            <w:tcW w:w="6804" w:type="dxa"/>
            <w:gridSpan w:val="3"/>
            <w:hideMark/>
          </w:tcPr>
          <w:p w14:paraId="3B2F320B" w14:textId="77777777" w:rsidR="00623BAB" w:rsidRPr="008215D3" w:rsidRDefault="00623BAB" w:rsidP="00970720">
            <w:pPr>
              <w:pStyle w:val="KUJKnormal"/>
              <w:rPr>
                <w:szCs w:val="19"/>
              </w:rPr>
            </w:pPr>
            <w:r w:rsidRPr="008215D3">
              <w:rPr>
                <w:szCs w:val="19"/>
              </w:rPr>
              <w:t>84/ZK/25</w:t>
            </w:r>
          </w:p>
        </w:tc>
      </w:tr>
      <w:tr w:rsidR="00623BAB" w:rsidRPr="008215D3" w14:paraId="3970440E" w14:textId="77777777" w:rsidTr="002E75F3">
        <w:trPr>
          <w:trHeight w:val="397"/>
        </w:trPr>
        <w:tc>
          <w:tcPr>
            <w:tcW w:w="2376" w:type="dxa"/>
          </w:tcPr>
          <w:p w14:paraId="3268FDC1" w14:textId="77777777" w:rsidR="00623BAB" w:rsidRPr="008215D3" w:rsidRDefault="00623BAB" w:rsidP="00970720">
            <w:pPr>
              <w:rPr>
                <w:rFonts w:ascii="Neue Haas Grotesk Text Pro" w:hAnsi="Neue Haas Grotesk Text Pro"/>
                <w:sz w:val="19"/>
                <w:szCs w:val="19"/>
              </w:rPr>
            </w:pPr>
          </w:p>
          <w:p w14:paraId="00DBA3F1" w14:textId="77777777" w:rsidR="00623BAB" w:rsidRPr="008215D3" w:rsidRDefault="00623BAB" w:rsidP="00970720">
            <w:pPr>
              <w:pStyle w:val="KUJKtucny"/>
              <w:rPr>
                <w:szCs w:val="19"/>
              </w:rPr>
            </w:pPr>
            <w:r w:rsidRPr="008215D3">
              <w:rPr>
                <w:szCs w:val="19"/>
              </w:rPr>
              <w:t>Název bodu:</w:t>
            </w:r>
          </w:p>
        </w:tc>
        <w:tc>
          <w:tcPr>
            <w:tcW w:w="6804" w:type="dxa"/>
            <w:gridSpan w:val="3"/>
          </w:tcPr>
          <w:p w14:paraId="052D0B54" w14:textId="77777777" w:rsidR="00623BAB" w:rsidRPr="008215D3" w:rsidRDefault="00623BAB" w:rsidP="00970720">
            <w:pPr>
              <w:rPr>
                <w:rFonts w:ascii="Neue Haas Grotesk Text Pro" w:hAnsi="Neue Haas Grotesk Text Pro"/>
                <w:sz w:val="19"/>
                <w:szCs w:val="19"/>
              </w:rPr>
            </w:pPr>
          </w:p>
          <w:p w14:paraId="2C184087" w14:textId="77777777" w:rsidR="00623BAB" w:rsidRPr="008215D3" w:rsidRDefault="00623BAB" w:rsidP="00970720">
            <w:pPr>
              <w:pStyle w:val="KUJKtucny"/>
              <w:rPr>
                <w:sz w:val="22"/>
                <w:szCs w:val="22"/>
              </w:rPr>
            </w:pPr>
            <w:r w:rsidRPr="008215D3">
              <w:rPr>
                <w:sz w:val="22"/>
                <w:szCs w:val="22"/>
              </w:rPr>
              <w:t xml:space="preserve">Realizace projektu Obědy pro jihočeské děti II. v rámci  OP Zaměstnanost plus a jeho kofinancování, předfinancování </w:t>
            </w:r>
            <w:r>
              <w:rPr>
                <w:sz w:val="22"/>
                <w:szCs w:val="22"/>
              </w:rPr>
              <w:br/>
            </w:r>
            <w:r w:rsidRPr="008215D3">
              <w:rPr>
                <w:sz w:val="22"/>
                <w:szCs w:val="22"/>
              </w:rPr>
              <w:t>a financování nezpůsobilých výdajů z rozpočtu Jihočeského kraje</w:t>
            </w:r>
          </w:p>
        </w:tc>
      </w:tr>
    </w:tbl>
    <w:p w14:paraId="22EFB2CE" w14:textId="77777777" w:rsidR="00623BAB" w:rsidRPr="008215D3" w:rsidRDefault="00623BAB" w:rsidP="002E75F3">
      <w:pPr>
        <w:pStyle w:val="KUJKnormal"/>
        <w:rPr>
          <w:b/>
          <w:bCs/>
          <w:szCs w:val="19"/>
        </w:rPr>
      </w:pPr>
      <w:r>
        <w:rPr>
          <w:b/>
          <w:bCs/>
          <w:szCs w:val="19"/>
        </w:rPr>
        <w:pict w14:anchorId="68A416D3">
          <v:rect id="_x0000_i1029" style="width:453.6pt;height:1.5pt" o:hralign="center" o:hrstd="t" o:hrnoshade="t" o:hr="t" fillcolor="black" stroked="f"/>
        </w:pict>
      </w:r>
    </w:p>
    <w:p w14:paraId="60AB3F3B" w14:textId="77777777" w:rsidR="00623BAB" w:rsidRPr="008215D3" w:rsidRDefault="00623BAB" w:rsidP="002E75F3">
      <w:pPr>
        <w:pStyle w:val="KUJKnormal"/>
        <w:rPr>
          <w:szCs w:val="19"/>
        </w:rPr>
      </w:pPr>
    </w:p>
    <w:p w14:paraId="24A5B5B1" w14:textId="77777777" w:rsidR="00623BAB" w:rsidRPr="008215D3" w:rsidRDefault="00623BAB" w:rsidP="002E75F3">
      <w:pPr>
        <w:rPr>
          <w:rFonts w:ascii="Neue Haas Grotesk Text Pro" w:hAnsi="Neue Haas Grotesk Text Pro"/>
          <w:i/>
          <w:iCs/>
          <w:sz w:val="19"/>
          <w:szCs w:val="19"/>
        </w:rPr>
      </w:pPr>
    </w:p>
    <w:tbl>
      <w:tblPr>
        <w:tblW w:w="0" w:type="auto"/>
        <w:tblCellMar>
          <w:left w:w="70" w:type="dxa"/>
          <w:right w:w="70" w:type="dxa"/>
        </w:tblCellMar>
        <w:tblLook w:val="04A0" w:firstRow="1" w:lastRow="0" w:firstColumn="1" w:lastColumn="0" w:noHBand="0" w:noVBand="1"/>
      </w:tblPr>
      <w:tblGrid>
        <w:gridCol w:w="2350"/>
        <w:gridCol w:w="6862"/>
      </w:tblGrid>
      <w:tr w:rsidR="00623BAB" w:rsidRPr="008215D3" w14:paraId="7221BC91" w14:textId="77777777" w:rsidTr="002559B8">
        <w:trPr>
          <w:trHeight w:val="397"/>
        </w:trPr>
        <w:tc>
          <w:tcPr>
            <w:tcW w:w="2350" w:type="dxa"/>
            <w:hideMark/>
          </w:tcPr>
          <w:p w14:paraId="0438196D" w14:textId="77777777" w:rsidR="00623BAB" w:rsidRPr="008215D3" w:rsidRDefault="00623BAB" w:rsidP="002559B8">
            <w:pPr>
              <w:pStyle w:val="KUJKtucny"/>
              <w:rPr>
                <w:szCs w:val="19"/>
              </w:rPr>
            </w:pPr>
            <w:r w:rsidRPr="008215D3">
              <w:rPr>
                <w:szCs w:val="19"/>
              </w:rPr>
              <w:t>Předkladatel:</w:t>
            </w:r>
          </w:p>
        </w:tc>
        <w:tc>
          <w:tcPr>
            <w:tcW w:w="6862" w:type="dxa"/>
          </w:tcPr>
          <w:p w14:paraId="77342111" w14:textId="77777777" w:rsidR="00623BAB" w:rsidRPr="008215D3" w:rsidRDefault="00623BAB" w:rsidP="002559B8">
            <w:pPr>
              <w:pStyle w:val="KUJKnormal"/>
              <w:rPr>
                <w:szCs w:val="19"/>
              </w:rPr>
            </w:pPr>
            <w:r w:rsidRPr="008215D3">
              <w:rPr>
                <w:szCs w:val="19"/>
              </w:rPr>
              <w:t>Ing. Tomáš Hajdušek</w:t>
            </w:r>
          </w:p>
          <w:p w14:paraId="25E58B67" w14:textId="77777777" w:rsidR="00623BAB" w:rsidRPr="008215D3" w:rsidRDefault="00623BAB" w:rsidP="002559B8">
            <w:pPr>
              <w:rPr>
                <w:rFonts w:ascii="Neue Haas Grotesk Text Pro" w:hAnsi="Neue Haas Grotesk Text Pro"/>
                <w:sz w:val="19"/>
                <w:szCs w:val="19"/>
              </w:rPr>
            </w:pPr>
          </w:p>
        </w:tc>
      </w:tr>
      <w:tr w:rsidR="00623BAB" w:rsidRPr="008215D3" w14:paraId="1144F0CD" w14:textId="77777777" w:rsidTr="002559B8">
        <w:trPr>
          <w:trHeight w:val="397"/>
        </w:trPr>
        <w:tc>
          <w:tcPr>
            <w:tcW w:w="2350" w:type="dxa"/>
          </w:tcPr>
          <w:p w14:paraId="134BF1D4" w14:textId="77777777" w:rsidR="00623BAB" w:rsidRPr="008215D3" w:rsidRDefault="00623BAB" w:rsidP="002559B8">
            <w:pPr>
              <w:pStyle w:val="KUJKtucny"/>
              <w:rPr>
                <w:szCs w:val="19"/>
              </w:rPr>
            </w:pPr>
            <w:r w:rsidRPr="008215D3">
              <w:rPr>
                <w:szCs w:val="19"/>
              </w:rPr>
              <w:t>Zpracoval:</w:t>
            </w:r>
          </w:p>
          <w:p w14:paraId="6388FBE6" w14:textId="77777777" w:rsidR="00623BAB" w:rsidRPr="008215D3" w:rsidRDefault="00623BAB" w:rsidP="002559B8">
            <w:pPr>
              <w:rPr>
                <w:rFonts w:ascii="Neue Haas Grotesk Text Pro" w:hAnsi="Neue Haas Grotesk Text Pro"/>
                <w:sz w:val="19"/>
                <w:szCs w:val="19"/>
              </w:rPr>
            </w:pPr>
          </w:p>
        </w:tc>
        <w:tc>
          <w:tcPr>
            <w:tcW w:w="6862" w:type="dxa"/>
            <w:hideMark/>
          </w:tcPr>
          <w:p w14:paraId="19349500" w14:textId="77777777" w:rsidR="00623BAB" w:rsidRPr="008215D3" w:rsidRDefault="00623BAB" w:rsidP="002559B8">
            <w:pPr>
              <w:pStyle w:val="KUJKnormal"/>
              <w:rPr>
                <w:szCs w:val="19"/>
              </w:rPr>
            </w:pPr>
            <w:r w:rsidRPr="008215D3">
              <w:rPr>
                <w:szCs w:val="19"/>
              </w:rPr>
              <w:t>OEZI</w:t>
            </w:r>
          </w:p>
        </w:tc>
      </w:tr>
      <w:tr w:rsidR="00623BAB" w:rsidRPr="008215D3" w14:paraId="70C0DDED" w14:textId="77777777" w:rsidTr="002559B8">
        <w:trPr>
          <w:trHeight w:val="397"/>
        </w:trPr>
        <w:tc>
          <w:tcPr>
            <w:tcW w:w="2350" w:type="dxa"/>
          </w:tcPr>
          <w:p w14:paraId="1CD6AD1C" w14:textId="77777777" w:rsidR="00623BAB" w:rsidRPr="008215D3" w:rsidRDefault="00623BAB" w:rsidP="002559B8">
            <w:pPr>
              <w:pStyle w:val="KUJKnormal"/>
              <w:rPr>
                <w:b/>
                <w:szCs w:val="19"/>
              </w:rPr>
            </w:pPr>
            <w:r w:rsidRPr="008215D3">
              <w:rPr>
                <w:b/>
                <w:szCs w:val="19"/>
              </w:rPr>
              <w:t>Vedoucí odboru:</w:t>
            </w:r>
          </w:p>
          <w:p w14:paraId="72BBCD55" w14:textId="77777777" w:rsidR="00623BAB" w:rsidRPr="008215D3" w:rsidRDefault="00623BAB" w:rsidP="002559B8">
            <w:pPr>
              <w:rPr>
                <w:rFonts w:ascii="Neue Haas Grotesk Text Pro" w:hAnsi="Neue Haas Grotesk Text Pro"/>
                <w:sz w:val="19"/>
                <w:szCs w:val="19"/>
              </w:rPr>
            </w:pPr>
          </w:p>
        </w:tc>
        <w:tc>
          <w:tcPr>
            <w:tcW w:w="6862" w:type="dxa"/>
            <w:hideMark/>
          </w:tcPr>
          <w:p w14:paraId="29C11EA1" w14:textId="77777777" w:rsidR="00623BAB" w:rsidRPr="008215D3" w:rsidRDefault="00623BAB" w:rsidP="002559B8">
            <w:pPr>
              <w:pStyle w:val="KUJKnormal"/>
              <w:rPr>
                <w:szCs w:val="19"/>
              </w:rPr>
            </w:pPr>
            <w:r w:rsidRPr="008215D3">
              <w:rPr>
                <w:szCs w:val="19"/>
              </w:rPr>
              <w:t>Ing. Jan Návara</w:t>
            </w:r>
          </w:p>
        </w:tc>
      </w:tr>
    </w:tbl>
    <w:p w14:paraId="320ECC54" w14:textId="77777777" w:rsidR="00623BAB" w:rsidRPr="008215D3" w:rsidRDefault="00623BAB" w:rsidP="002E75F3">
      <w:pPr>
        <w:pStyle w:val="KUJKnormal"/>
        <w:rPr>
          <w:szCs w:val="19"/>
        </w:rPr>
      </w:pPr>
    </w:p>
    <w:p w14:paraId="7CC17679" w14:textId="77777777" w:rsidR="00623BAB" w:rsidRPr="008215D3" w:rsidRDefault="00623BAB" w:rsidP="002E75F3">
      <w:pPr>
        <w:pStyle w:val="KUJKtucny"/>
        <w:rPr>
          <w:szCs w:val="19"/>
        </w:rPr>
      </w:pPr>
      <w:r w:rsidRPr="008215D3">
        <w:rPr>
          <w:szCs w:val="19"/>
        </w:rPr>
        <w:t>NÁVRH USNESENÍ</w:t>
      </w:r>
    </w:p>
    <w:p w14:paraId="24EAF67F" w14:textId="77777777" w:rsidR="00623BAB" w:rsidRPr="008215D3" w:rsidRDefault="00623BAB" w:rsidP="002E75F3">
      <w:pPr>
        <w:pStyle w:val="KUJKnormal"/>
        <w:rPr>
          <w:rFonts w:cs="Calibri"/>
          <w:szCs w:val="19"/>
        </w:rPr>
      </w:pPr>
      <w:bookmarkStart w:id="0" w:name="US_ZaVeVeci"/>
      <w:bookmarkEnd w:id="0"/>
    </w:p>
    <w:p w14:paraId="64FF2766" w14:textId="77777777" w:rsidR="00623BAB" w:rsidRPr="008215D3" w:rsidRDefault="00623BAB" w:rsidP="002E75F3">
      <w:pPr>
        <w:pStyle w:val="KUJKPolozka"/>
        <w:rPr>
          <w:szCs w:val="19"/>
        </w:rPr>
      </w:pPr>
      <w:r w:rsidRPr="008215D3">
        <w:rPr>
          <w:szCs w:val="19"/>
        </w:rPr>
        <w:t>Zastupitelstvo Jihočeského kraje</w:t>
      </w:r>
    </w:p>
    <w:p w14:paraId="2B9755EA" w14:textId="77777777" w:rsidR="00623BAB" w:rsidRPr="008215D3" w:rsidRDefault="00623BAB" w:rsidP="008215D3">
      <w:pPr>
        <w:pStyle w:val="KUJKdoplnek2"/>
        <w:rPr>
          <w:szCs w:val="19"/>
        </w:rPr>
      </w:pPr>
      <w:r w:rsidRPr="008215D3">
        <w:rPr>
          <w:szCs w:val="19"/>
        </w:rPr>
        <w:t>schvaluje</w:t>
      </w:r>
    </w:p>
    <w:p w14:paraId="67C7AE06" w14:textId="77777777" w:rsidR="00623BAB" w:rsidRPr="008215D3" w:rsidRDefault="00623BAB" w:rsidP="008215D3">
      <w:pPr>
        <w:pStyle w:val="KUJKPolozka"/>
        <w:rPr>
          <w:b w:val="0"/>
          <w:bCs/>
          <w:szCs w:val="19"/>
        </w:rPr>
      </w:pPr>
      <w:r w:rsidRPr="008215D3">
        <w:rPr>
          <w:b w:val="0"/>
          <w:bCs/>
          <w:szCs w:val="19"/>
        </w:rPr>
        <w:t>a) realizaci projektu „Obědy pro jihočeské děti II.“ (žadatel: Jihočeský kraj) a podání žádosti o podporu do Operačního programu Zaměstnanost plus s celkovými výdaji ve výši 38 712 960 Kč, z toho s celkovými způsobilými výdaji ve výši 37 712 960 Kč,</w:t>
      </w:r>
    </w:p>
    <w:p w14:paraId="726C08F9" w14:textId="77777777" w:rsidR="00623BAB" w:rsidRPr="008215D3" w:rsidRDefault="00623BAB" w:rsidP="008215D3">
      <w:pPr>
        <w:pStyle w:val="KUJKPolozka"/>
        <w:rPr>
          <w:b w:val="0"/>
          <w:bCs/>
          <w:szCs w:val="19"/>
        </w:rPr>
      </w:pPr>
      <w:r w:rsidRPr="008215D3">
        <w:rPr>
          <w:b w:val="0"/>
          <w:bCs/>
          <w:szCs w:val="19"/>
        </w:rPr>
        <w:t>b) kofinancování projektu „Obědy pro jihočeské děti II.“ Jihočeským krajem ve výši 10 % z celkových způsobilých výdajů projektu, tj. 3 771 296 Kč, s podmínkou přidělení dotace z Operačního programu Zaměstnanost plus </w:t>
      </w:r>
      <w:r>
        <w:rPr>
          <w:b w:val="0"/>
          <w:bCs/>
          <w:szCs w:val="19"/>
        </w:rPr>
        <w:br/>
      </w:r>
      <w:r w:rsidRPr="008215D3">
        <w:rPr>
          <w:b w:val="0"/>
          <w:bCs/>
          <w:szCs w:val="19"/>
        </w:rPr>
        <w:t>s čerpáním na základě Formuláře evropského projektu dle přílohy č. 1 návrhu č. </w:t>
      </w:r>
      <w:r>
        <w:rPr>
          <w:b w:val="0"/>
          <w:bCs/>
          <w:szCs w:val="19"/>
        </w:rPr>
        <w:t>84/ZK/</w:t>
      </w:r>
      <w:r w:rsidRPr="008215D3">
        <w:rPr>
          <w:b w:val="0"/>
          <w:bCs/>
          <w:szCs w:val="19"/>
        </w:rPr>
        <w:t>25,</w:t>
      </w:r>
    </w:p>
    <w:p w14:paraId="35A12EC5" w14:textId="77777777" w:rsidR="00623BAB" w:rsidRPr="008215D3" w:rsidRDefault="00623BAB" w:rsidP="008215D3">
      <w:pPr>
        <w:pStyle w:val="KUJKPolozka"/>
        <w:rPr>
          <w:b w:val="0"/>
          <w:bCs/>
          <w:szCs w:val="19"/>
        </w:rPr>
      </w:pPr>
      <w:r w:rsidRPr="008215D3">
        <w:rPr>
          <w:b w:val="0"/>
          <w:bCs/>
          <w:szCs w:val="19"/>
        </w:rPr>
        <w:t>c) předfinancování projektu „Obědy pro jihočeské děti II.“ Jihočeským krajem ve výši 90 % z celkových způsobilých výdajů projektu, tj. 33 941 664 Kč, s podmínkou přidělení dotace z Operačního programu Zaměstnanost plus </w:t>
      </w:r>
      <w:r>
        <w:rPr>
          <w:b w:val="0"/>
          <w:bCs/>
          <w:szCs w:val="19"/>
        </w:rPr>
        <w:br/>
      </w:r>
      <w:r w:rsidRPr="008215D3">
        <w:rPr>
          <w:b w:val="0"/>
          <w:bCs/>
          <w:szCs w:val="19"/>
        </w:rPr>
        <w:t>s čerpáním na základě Formuláře evropského projektu dle přílohy č. 1 návrhu č. </w:t>
      </w:r>
      <w:r>
        <w:rPr>
          <w:b w:val="0"/>
          <w:bCs/>
          <w:szCs w:val="19"/>
        </w:rPr>
        <w:t>84/ZK/</w:t>
      </w:r>
      <w:r w:rsidRPr="008215D3">
        <w:rPr>
          <w:b w:val="0"/>
          <w:bCs/>
          <w:szCs w:val="19"/>
        </w:rPr>
        <w:t>25,</w:t>
      </w:r>
    </w:p>
    <w:p w14:paraId="038C0E37" w14:textId="77777777" w:rsidR="00623BAB" w:rsidRPr="008215D3" w:rsidRDefault="00623BAB" w:rsidP="008215D3">
      <w:pPr>
        <w:pStyle w:val="KUJKPolozka"/>
        <w:rPr>
          <w:b w:val="0"/>
          <w:bCs/>
          <w:szCs w:val="19"/>
        </w:rPr>
      </w:pPr>
      <w:r w:rsidRPr="008215D3">
        <w:rPr>
          <w:b w:val="0"/>
          <w:bCs/>
          <w:szCs w:val="19"/>
        </w:rPr>
        <w:t xml:space="preserve">d) financování nezpůsobilých výdajů projektu „Obědy pro jihočeské děti II.“ Jihočeským krajem ve výši </w:t>
      </w:r>
      <w:r w:rsidRPr="008215D3">
        <w:rPr>
          <w:b w:val="0"/>
          <w:bCs/>
          <w:szCs w:val="19"/>
        </w:rPr>
        <w:br/>
        <w:t>1 000 000 Kč, s podmínkou přidělení dotace z Operačního programu Zaměstnanost plus s čerpáním na základě Formuláře evropského projektu dle přílohy č. 1 návrhu č. </w:t>
      </w:r>
      <w:r>
        <w:rPr>
          <w:b w:val="0"/>
          <w:bCs/>
          <w:szCs w:val="19"/>
        </w:rPr>
        <w:t>84/ZK/</w:t>
      </w:r>
      <w:r w:rsidRPr="008215D3">
        <w:rPr>
          <w:b w:val="0"/>
          <w:bCs/>
          <w:szCs w:val="19"/>
        </w:rPr>
        <w:t>25;</w:t>
      </w:r>
    </w:p>
    <w:p w14:paraId="2F0A14DF" w14:textId="77777777" w:rsidR="00623BAB" w:rsidRPr="008215D3" w:rsidRDefault="00623BAB" w:rsidP="008215D3">
      <w:pPr>
        <w:pStyle w:val="KUJKPolozka"/>
        <w:tabs>
          <w:tab w:val="left" w:pos="426"/>
        </w:tabs>
        <w:rPr>
          <w:szCs w:val="19"/>
        </w:rPr>
      </w:pPr>
      <w:r w:rsidRPr="008215D3">
        <w:rPr>
          <w:szCs w:val="19"/>
        </w:rPr>
        <w:t>II.</w:t>
      </w:r>
      <w:r w:rsidRPr="008215D3">
        <w:rPr>
          <w:szCs w:val="19"/>
        </w:rPr>
        <w:tab/>
        <w:t xml:space="preserve">pověřuje </w:t>
      </w:r>
    </w:p>
    <w:p w14:paraId="30CF6E07" w14:textId="77777777" w:rsidR="00623BAB" w:rsidRPr="008215D3" w:rsidRDefault="00623BAB" w:rsidP="008215D3">
      <w:pPr>
        <w:pStyle w:val="KUJKPolozka"/>
        <w:rPr>
          <w:b w:val="0"/>
          <w:bCs/>
          <w:szCs w:val="19"/>
        </w:rPr>
      </w:pPr>
      <w:r w:rsidRPr="008215D3">
        <w:rPr>
          <w:b w:val="0"/>
          <w:bCs/>
          <w:szCs w:val="19"/>
        </w:rPr>
        <w:t xml:space="preserve">radu kraje vyhlášením dotačního programu „Obědy pro jihočeské děti II.“ v termínu do 31. 8. 2025; </w:t>
      </w:r>
    </w:p>
    <w:p w14:paraId="20BCD32B" w14:textId="77777777" w:rsidR="00623BAB" w:rsidRPr="008215D3" w:rsidRDefault="00623BAB" w:rsidP="008215D3">
      <w:pPr>
        <w:pStyle w:val="KUJKPolozka"/>
        <w:tabs>
          <w:tab w:val="left" w:pos="426"/>
        </w:tabs>
        <w:rPr>
          <w:szCs w:val="19"/>
        </w:rPr>
      </w:pPr>
      <w:r w:rsidRPr="008215D3">
        <w:rPr>
          <w:szCs w:val="19"/>
        </w:rPr>
        <w:t>III.</w:t>
      </w:r>
      <w:r w:rsidRPr="008215D3">
        <w:rPr>
          <w:szCs w:val="19"/>
        </w:rPr>
        <w:tab/>
        <w:t>ukládá</w:t>
      </w:r>
    </w:p>
    <w:p w14:paraId="06FDDD2F" w14:textId="77777777" w:rsidR="00623BAB" w:rsidRPr="008215D3" w:rsidRDefault="00623BAB" w:rsidP="008215D3">
      <w:pPr>
        <w:pStyle w:val="KUJKPolozka"/>
        <w:rPr>
          <w:b w:val="0"/>
          <w:bCs/>
          <w:szCs w:val="19"/>
        </w:rPr>
      </w:pPr>
      <w:r>
        <w:rPr>
          <w:b w:val="0"/>
          <w:bCs/>
          <w:szCs w:val="19"/>
        </w:rPr>
        <w:t>JUDr. Lukáši Glaserovi, LL.M., řediteli krajského úřadu, zajistit realizaci uvedeného usnesení</w:t>
      </w:r>
      <w:r w:rsidRPr="008215D3">
        <w:rPr>
          <w:b w:val="0"/>
          <w:bCs/>
          <w:szCs w:val="19"/>
        </w:rPr>
        <w:t>.</w:t>
      </w:r>
    </w:p>
    <w:p w14:paraId="541B0F44" w14:textId="77777777" w:rsidR="00623BAB" w:rsidRPr="008215D3" w:rsidRDefault="00623BAB" w:rsidP="008215D3">
      <w:pPr>
        <w:pStyle w:val="KUJKPolozka"/>
        <w:rPr>
          <w:b w:val="0"/>
          <w:bCs/>
          <w:szCs w:val="19"/>
        </w:rPr>
      </w:pPr>
      <w:r w:rsidRPr="008215D3">
        <w:rPr>
          <w:b w:val="0"/>
          <w:bCs/>
          <w:szCs w:val="19"/>
        </w:rPr>
        <w:t xml:space="preserve">T: 31. </w:t>
      </w:r>
      <w:r>
        <w:rPr>
          <w:b w:val="0"/>
          <w:bCs/>
          <w:szCs w:val="19"/>
        </w:rPr>
        <w:t>10</w:t>
      </w:r>
      <w:r w:rsidRPr="008215D3">
        <w:rPr>
          <w:b w:val="0"/>
          <w:bCs/>
          <w:szCs w:val="19"/>
        </w:rPr>
        <w:t>. 202</w:t>
      </w:r>
      <w:r>
        <w:rPr>
          <w:b w:val="0"/>
          <w:bCs/>
          <w:szCs w:val="19"/>
        </w:rPr>
        <w:t>7</w:t>
      </w:r>
    </w:p>
    <w:p w14:paraId="2D259093" w14:textId="77777777" w:rsidR="00623BAB" w:rsidRDefault="00623BAB" w:rsidP="002E75F3">
      <w:pPr>
        <w:pStyle w:val="KUJKnormal"/>
        <w:rPr>
          <w:szCs w:val="19"/>
        </w:rPr>
      </w:pPr>
    </w:p>
    <w:p w14:paraId="15282E52" w14:textId="77777777" w:rsidR="00623BAB" w:rsidRPr="008215D3" w:rsidRDefault="00623BAB" w:rsidP="002E75F3">
      <w:pPr>
        <w:pStyle w:val="KUJKnormal"/>
        <w:rPr>
          <w:szCs w:val="19"/>
        </w:rPr>
      </w:pPr>
    </w:p>
    <w:p w14:paraId="4185CE3D" w14:textId="77777777" w:rsidR="00623BAB" w:rsidRPr="008215D3" w:rsidRDefault="00623BAB" w:rsidP="008215D3">
      <w:pPr>
        <w:pStyle w:val="KUJKnormal"/>
        <w:rPr>
          <w:b/>
          <w:szCs w:val="19"/>
        </w:rPr>
      </w:pPr>
      <w:r w:rsidRPr="008215D3">
        <w:rPr>
          <w:b/>
          <w:szCs w:val="19"/>
        </w:rPr>
        <w:t>DŮVODOVÁ ZPRÁVA</w:t>
      </w:r>
    </w:p>
    <w:p w14:paraId="4545DAD1" w14:textId="77777777" w:rsidR="00623BAB" w:rsidRPr="008215D3" w:rsidRDefault="00623BAB" w:rsidP="008215D3">
      <w:pPr>
        <w:pStyle w:val="KUJKnormal"/>
        <w:rPr>
          <w:szCs w:val="19"/>
        </w:rPr>
      </w:pPr>
    </w:p>
    <w:p w14:paraId="23E869E8" w14:textId="77777777" w:rsidR="00623BAB" w:rsidRPr="008215D3" w:rsidRDefault="00623BAB" w:rsidP="008215D3">
      <w:pPr>
        <w:pStyle w:val="KUJKnormal"/>
        <w:rPr>
          <w:szCs w:val="19"/>
        </w:rPr>
      </w:pPr>
      <w:bookmarkStart w:id="1" w:name="_Hlk190156634"/>
      <w:r w:rsidRPr="008215D3">
        <w:rPr>
          <w:szCs w:val="19"/>
        </w:rPr>
        <w:t xml:space="preserve">Ministerstvo práce a sociálních věcí (MPSV) vyhlásilo dne 6. 1. 2025 v rámci Operačního programu Zaměstnanost plus (dále „OP Z+“) 81. výzvu s názvem </w:t>
      </w:r>
      <w:bookmarkStart w:id="2" w:name="_Hlk135397305"/>
      <w:r w:rsidRPr="008215D3">
        <w:rPr>
          <w:szCs w:val="19"/>
        </w:rPr>
        <w:t>„Potravinová pomoc dětem v sociální nouzi (2)</w:t>
      </w:r>
      <w:bookmarkEnd w:id="2"/>
      <w:r w:rsidRPr="008215D3">
        <w:rPr>
          <w:szCs w:val="19"/>
        </w:rPr>
        <w:t xml:space="preserve">“. </w:t>
      </w:r>
      <w:r w:rsidRPr="008215D3">
        <w:rPr>
          <w:b/>
          <w:bCs/>
          <w:szCs w:val="19"/>
        </w:rPr>
        <w:t xml:space="preserve">Celková alokace výzvy činí 600 000 000 Kč, pro Jihočeský kraj je určena částka v celkové výši způsobilých výdajů 37 712 960 Kč (90 %, tj. 33 941 664 Kč, z ESF, 10 %, tj. 3 771 296 Kč, je povinné spolufinancování kraje). </w:t>
      </w:r>
      <w:r w:rsidRPr="008215D3">
        <w:rPr>
          <w:szCs w:val="19"/>
        </w:rPr>
        <w:t xml:space="preserve">Oprávněnými příjemci podpory v rámci výzvy OP Z+ jsou výhradně kraje vč. Hlavního města Prahy. Podávání žádostí do OP Z+ je možné od </w:t>
      </w:r>
      <w:r>
        <w:rPr>
          <w:szCs w:val="19"/>
        </w:rPr>
        <w:br/>
      </w:r>
      <w:r w:rsidRPr="008215D3">
        <w:rPr>
          <w:szCs w:val="19"/>
        </w:rPr>
        <w:t xml:space="preserve">6. 2. 2025 do 11. 1. 2027. Maximální délka projektů krajů je stanovena na 24 měsíců.  </w:t>
      </w:r>
    </w:p>
    <w:p w14:paraId="2633A4ED" w14:textId="77777777" w:rsidR="00623BAB" w:rsidRPr="008215D3" w:rsidRDefault="00623BAB" w:rsidP="008215D3">
      <w:pPr>
        <w:pStyle w:val="KUJKnormal"/>
        <w:rPr>
          <w:szCs w:val="19"/>
        </w:rPr>
      </w:pPr>
      <w:r w:rsidRPr="008215D3">
        <w:rPr>
          <w:szCs w:val="19"/>
        </w:rPr>
        <w:t>Navržené nezpůsobilé výdaje ve výši 1 mil. Kč budou využity na administraci žádostí.</w:t>
      </w:r>
    </w:p>
    <w:p w14:paraId="264AE20E" w14:textId="77777777" w:rsidR="00623BAB" w:rsidRPr="008215D3" w:rsidRDefault="00623BAB" w:rsidP="008215D3">
      <w:pPr>
        <w:pStyle w:val="KUJKnormal"/>
        <w:rPr>
          <w:b/>
          <w:bCs/>
          <w:szCs w:val="19"/>
        </w:rPr>
      </w:pPr>
      <w:r w:rsidRPr="008215D3">
        <w:rPr>
          <w:b/>
          <w:bCs/>
          <w:szCs w:val="19"/>
        </w:rPr>
        <w:br w:type="page"/>
        <w:t>Obecné podmínky 81. výzvy OP Z+</w:t>
      </w:r>
    </w:p>
    <w:p w14:paraId="21CEF147" w14:textId="77777777" w:rsidR="00623BAB" w:rsidRPr="008215D3" w:rsidRDefault="00623BAB" w:rsidP="008215D3">
      <w:pPr>
        <w:pStyle w:val="KUJKnormal"/>
        <w:rPr>
          <w:szCs w:val="19"/>
        </w:rPr>
      </w:pPr>
      <w:r w:rsidRPr="008215D3">
        <w:rPr>
          <w:szCs w:val="19"/>
        </w:rPr>
        <w:t>81. výzva OP Z+ navazuje 26. výzvu, z níž Jihočeský kraj financuje projekt, resp. dotační program „Obědy pro jihočeské děti“ (běží od 1. 9. 2023 do 31. 8. 2025). Podpora v rámci 81. výzvy OP Z+ je znovu zaměřena na zajištění bezplatného školního stravování žáků v mateřských školách, základních školách a středních školách (gymnázium, střední odborná škola a střední odborné učiliště), včetně speciálních škol</w:t>
      </w:r>
      <w:r>
        <w:rPr>
          <w:szCs w:val="19"/>
        </w:rPr>
        <w:t xml:space="preserve"> </w:t>
      </w:r>
      <w:r w:rsidRPr="008215D3">
        <w:rPr>
          <w:szCs w:val="19"/>
        </w:rPr>
        <w:t xml:space="preserve">a konzervatoří a také žáků školských výchovných a ubytovacích zařízení typu domov mládeže a internát, jejichž rodina je ohrožena chudobou a materiální nebo potravinovou deprivací nebo se ocitla v nepříznivé finanční situaci. Cílem podpory je zlepšit poskytnutím finančních prostředků na školní stravování podmínky pro řádný průběh školní docházky dětí, žáků a studentů </w:t>
      </w:r>
      <w:r>
        <w:rPr>
          <w:szCs w:val="19"/>
        </w:rPr>
        <w:br/>
      </w:r>
      <w:r w:rsidRPr="008215D3">
        <w:rPr>
          <w:szCs w:val="19"/>
        </w:rPr>
        <w:t xml:space="preserve">a zároveň předcházet jejich sociálnímu vyloučení. </w:t>
      </w:r>
    </w:p>
    <w:p w14:paraId="1B0B017E" w14:textId="77777777" w:rsidR="00623BAB" w:rsidRPr="008215D3" w:rsidRDefault="00623BAB" w:rsidP="008215D3">
      <w:pPr>
        <w:pStyle w:val="KUJKnormal"/>
        <w:rPr>
          <w:szCs w:val="19"/>
        </w:rPr>
      </w:pPr>
    </w:p>
    <w:p w14:paraId="10450A4E" w14:textId="77777777" w:rsidR="00623BAB" w:rsidRPr="008215D3" w:rsidRDefault="00623BAB" w:rsidP="008215D3">
      <w:pPr>
        <w:pStyle w:val="KUJKnormal"/>
        <w:rPr>
          <w:szCs w:val="19"/>
        </w:rPr>
      </w:pPr>
      <w:r w:rsidRPr="008215D3">
        <w:rPr>
          <w:szCs w:val="19"/>
        </w:rPr>
        <w:t xml:space="preserve">V rámci projektu lze podpořit pouze děti/žáky/studenty ve věku 2–26 let </w:t>
      </w:r>
    </w:p>
    <w:p w14:paraId="43A90969" w14:textId="77777777" w:rsidR="00623BAB" w:rsidRPr="008215D3" w:rsidRDefault="00623BAB" w:rsidP="008215D3">
      <w:pPr>
        <w:pStyle w:val="KUJKnormal"/>
        <w:numPr>
          <w:ilvl w:val="0"/>
          <w:numId w:val="11"/>
        </w:numPr>
        <w:rPr>
          <w:szCs w:val="19"/>
        </w:rPr>
      </w:pPr>
      <w:r w:rsidRPr="008215D3">
        <w:rPr>
          <w:szCs w:val="19"/>
        </w:rPr>
        <w:t>kteří jsou zapojeni do předškolního vzdělávání (mateřská škola), jsou žáky základních škol či</w:t>
      </w:r>
      <w:r>
        <w:rPr>
          <w:szCs w:val="19"/>
        </w:rPr>
        <w:t xml:space="preserve"> v</w:t>
      </w:r>
      <w:r w:rsidRPr="008215D3">
        <w:rPr>
          <w:szCs w:val="19"/>
        </w:rPr>
        <w:t>íceletých gymnázií, žáky středních škol, žáky konzervatoří, navštěvují domovy mládeže</w:t>
      </w:r>
      <w:r>
        <w:rPr>
          <w:szCs w:val="19"/>
        </w:rPr>
        <w:t xml:space="preserve"> </w:t>
      </w:r>
      <w:r w:rsidRPr="008215D3">
        <w:rPr>
          <w:szCs w:val="19"/>
        </w:rPr>
        <w:t xml:space="preserve">a internátní zařízení bez ohledu na zřizovatele, </w:t>
      </w:r>
    </w:p>
    <w:p w14:paraId="46DAC807" w14:textId="77777777" w:rsidR="00623BAB" w:rsidRPr="008215D3" w:rsidRDefault="00623BAB" w:rsidP="008215D3">
      <w:pPr>
        <w:pStyle w:val="KUJKnormal"/>
        <w:rPr>
          <w:szCs w:val="19"/>
        </w:rPr>
      </w:pPr>
      <w:r w:rsidRPr="008215D3">
        <w:rPr>
          <w:szCs w:val="19"/>
        </w:rPr>
        <w:t xml:space="preserve">a </w:t>
      </w:r>
    </w:p>
    <w:p w14:paraId="523887F0" w14:textId="77777777" w:rsidR="00623BAB" w:rsidRPr="008215D3" w:rsidRDefault="00623BAB" w:rsidP="008215D3">
      <w:pPr>
        <w:pStyle w:val="KUJKnormal"/>
        <w:numPr>
          <w:ilvl w:val="0"/>
          <w:numId w:val="11"/>
        </w:numPr>
        <w:rPr>
          <w:szCs w:val="19"/>
        </w:rPr>
      </w:pPr>
      <w:r w:rsidRPr="008215D3">
        <w:rPr>
          <w:szCs w:val="19"/>
        </w:rPr>
        <w:t xml:space="preserve">jejichž rodina se ocitla v nepříznivé finanční situaci. </w:t>
      </w:r>
    </w:p>
    <w:p w14:paraId="5DC3E265" w14:textId="77777777" w:rsidR="00623BAB" w:rsidRPr="008215D3" w:rsidRDefault="00623BAB" w:rsidP="008215D3">
      <w:pPr>
        <w:pStyle w:val="KUJKnormal"/>
        <w:rPr>
          <w:szCs w:val="19"/>
        </w:rPr>
      </w:pPr>
    </w:p>
    <w:p w14:paraId="3ED11F39" w14:textId="77777777" w:rsidR="00623BAB" w:rsidRPr="008215D3" w:rsidRDefault="00623BAB" w:rsidP="008215D3">
      <w:pPr>
        <w:pStyle w:val="KUJKnormal"/>
        <w:rPr>
          <w:szCs w:val="19"/>
        </w:rPr>
      </w:pPr>
      <w:r w:rsidRPr="008215D3">
        <w:rPr>
          <w:szCs w:val="19"/>
        </w:rPr>
        <w:t>Obě uvedené podmínky musí být splněny zároveň.</w:t>
      </w:r>
    </w:p>
    <w:p w14:paraId="77A7A213" w14:textId="77777777" w:rsidR="00623BAB" w:rsidRPr="008215D3" w:rsidRDefault="00623BAB" w:rsidP="008215D3">
      <w:pPr>
        <w:pStyle w:val="KUJKnormal"/>
        <w:rPr>
          <w:szCs w:val="19"/>
        </w:rPr>
      </w:pPr>
    </w:p>
    <w:p w14:paraId="7501A0F8" w14:textId="77777777" w:rsidR="00623BAB" w:rsidRPr="008215D3" w:rsidRDefault="00623BAB" w:rsidP="008215D3">
      <w:pPr>
        <w:pStyle w:val="KUJKnormal"/>
        <w:rPr>
          <w:szCs w:val="19"/>
        </w:rPr>
      </w:pPr>
      <w:r w:rsidRPr="008215D3">
        <w:rPr>
          <w:szCs w:val="19"/>
        </w:rPr>
        <w:t>Do podpořené cílové skupiny budou děti zařazeny na základě příjmové a sociální situace rodin, přičemž podmínkou pro čerpání příspěvku na školní stravování je v rámci 81. výzvy OP Z+ pobírání</w:t>
      </w:r>
    </w:p>
    <w:p w14:paraId="5A8943DA" w14:textId="77777777" w:rsidR="00623BAB" w:rsidRPr="008215D3" w:rsidRDefault="00623BAB" w:rsidP="008215D3">
      <w:pPr>
        <w:pStyle w:val="KUJKnormal"/>
        <w:rPr>
          <w:szCs w:val="19"/>
        </w:rPr>
      </w:pPr>
    </w:p>
    <w:p w14:paraId="5EFCE27A" w14:textId="77777777" w:rsidR="00623BAB" w:rsidRPr="008215D3" w:rsidRDefault="00623BAB" w:rsidP="008215D3">
      <w:pPr>
        <w:pStyle w:val="KUJKnormal"/>
        <w:numPr>
          <w:ilvl w:val="0"/>
          <w:numId w:val="12"/>
        </w:numPr>
        <w:rPr>
          <w:szCs w:val="19"/>
        </w:rPr>
      </w:pPr>
      <w:r w:rsidRPr="008215D3">
        <w:rPr>
          <w:b/>
          <w:bCs/>
          <w:szCs w:val="19"/>
        </w:rPr>
        <w:t>dávky státní sociální podpory – přídavku na dítě</w:t>
      </w:r>
    </w:p>
    <w:p w14:paraId="26894BD2" w14:textId="77777777" w:rsidR="00623BAB" w:rsidRPr="008215D3" w:rsidRDefault="00623BAB" w:rsidP="008215D3">
      <w:pPr>
        <w:pStyle w:val="KUJKnormal"/>
        <w:rPr>
          <w:szCs w:val="19"/>
        </w:rPr>
      </w:pPr>
    </w:p>
    <w:p w14:paraId="7C2E8789" w14:textId="77777777" w:rsidR="00623BAB" w:rsidRPr="008215D3" w:rsidRDefault="00623BAB" w:rsidP="008215D3">
      <w:pPr>
        <w:pStyle w:val="KUJKnormal"/>
        <w:rPr>
          <w:szCs w:val="19"/>
        </w:rPr>
      </w:pPr>
      <w:r w:rsidRPr="008215D3">
        <w:rPr>
          <w:szCs w:val="19"/>
        </w:rPr>
        <w:t>nebo</w:t>
      </w:r>
    </w:p>
    <w:p w14:paraId="20128137" w14:textId="77777777" w:rsidR="00623BAB" w:rsidRPr="008215D3" w:rsidRDefault="00623BAB" w:rsidP="008215D3">
      <w:pPr>
        <w:pStyle w:val="KUJKnormal"/>
        <w:rPr>
          <w:szCs w:val="19"/>
        </w:rPr>
      </w:pPr>
    </w:p>
    <w:p w14:paraId="00F3EAEF" w14:textId="77777777" w:rsidR="00623BAB" w:rsidRPr="008215D3" w:rsidRDefault="00623BAB" w:rsidP="008215D3">
      <w:pPr>
        <w:pStyle w:val="KUJKnormal"/>
        <w:numPr>
          <w:ilvl w:val="0"/>
          <w:numId w:val="12"/>
        </w:numPr>
        <w:rPr>
          <w:szCs w:val="19"/>
        </w:rPr>
      </w:pPr>
      <w:r w:rsidRPr="008215D3">
        <w:rPr>
          <w:b/>
          <w:bCs/>
          <w:szCs w:val="19"/>
        </w:rPr>
        <w:t>humanitární dávky vyplácené cizincům s dočasnou ochranou</w:t>
      </w:r>
      <w:r w:rsidRPr="008215D3">
        <w:rPr>
          <w:szCs w:val="19"/>
        </w:rPr>
        <w:t xml:space="preserve"> dle zákona č. 66/2022 Sb.,</w:t>
      </w:r>
      <w:r>
        <w:rPr>
          <w:szCs w:val="19"/>
        </w:rPr>
        <w:t xml:space="preserve"> </w:t>
      </w:r>
      <w:r w:rsidRPr="008215D3">
        <w:rPr>
          <w:szCs w:val="19"/>
        </w:rPr>
        <w:t>o opatřeních v oblasti zaměstnanosti a oblasti sociálního zabezpečení v souvislosti s ozbrojeným konfliktem na území Ukrajiny vyvolaným invazí vojsk Ruské federace.</w:t>
      </w:r>
    </w:p>
    <w:p w14:paraId="28887F09" w14:textId="77777777" w:rsidR="00623BAB" w:rsidRPr="008215D3" w:rsidRDefault="00623BAB" w:rsidP="008215D3">
      <w:pPr>
        <w:pStyle w:val="KUJKnormal"/>
        <w:rPr>
          <w:szCs w:val="19"/>
        </w:rPr>
      </w:pPr>
    </w:p>
    <w:p w14:paraId="177E3631" w14:textId="77777777" w:rsidR="00623BAB" w:rsidRPr="008215D3" w:rsidRDefault="00623BAB" w:rsidP="008215D3">
      <w:pPr>
        <w:pStyle w:val="KUJKnormal"/>
        <w:rPr>
          <w:szCs w:val="19"/>
        </w:rPr>
      </w:pPr>
      <w:r w:rsidRPr="008215D3">
        <w:rPr>
          <w:szCs w:val="19"/>
        </w:rPr>
        <w:t>Tuto základní cílovou skupinu nemůže kraj zúžit, do projektu musí být povinně zařazena. Volitelné je rozšíření cílové skupiny o rodiny, které čelí exekuci/ insolvenci, a rodiny, jejichž nepříznivá finanční situace byla posouzena třetí stranou. Tyto možnosti ale Jihočeský kraj nevyužil ani v běžícím dotačním programu „Obědy pro jihočeské děti“, protože nejsou kompatibilní s elektronickým online ověřováním pobírání definovaných dávek ze strany úřadu práce, jehož využití se předpokládá i v návazném dotačním programu.</w:t>
      </w:r>
    </w:p>
    <w:p w14:paraId="5FF1C470" w14:textId="77777777" w:rsidR="00623BAB" w:rsidRPr="008215D3" w:rsidRDefault="00623BAB" w:rsidP="008215D3">
      <w:pPr>
        <w:pStyle w:val="KUJKnormal"/>
        <w:rPr>
          <w:szCs w:val="19"/>
        </w:rPr>
      </w:pPr>
    </w:p>
    <w:p w14:paraId="5909DB95" w14:textId="77777777" w:rsidR="00623BAB" w:rsidRPr="008215D3" w:rsidRDefault="00623BAB" w:rsidP="008215D3">
      <w:pPr>
        <w:pStyle w:val="KUJKnormal"/>
        <w:rPr>
          <w:szCs w:val="19"/>
        </w:rPr>
      </w:pPr>
      <w:r w:rsidRPr="008215D3">
        <w:rPr>
          <w:szCs w:val="19"/>
        </w:rPr>
        <w:t>Podpora školního stravování bude financována na základě jednotkových nákladů stanovených pro jednotlivé typy škol a věkové kategorie dle výzvy OP Z+. Jednotky na podporu školního stravování obsahují automatickou budoucí indexaci, která je založena na každoročním navýšení jednotkových nákladů</w:t>
      </w:r>
      <w:r>
        <w:rPr>
          <w:szCs w:val="19"/>
        </w:rPr>
        <w:t xml:space="preserve"> </w:t>
      </w:r>
      <w:r w:rsidRPr="008215D3">
        <w:rPr>
          <w:szCs w:val="19"/>
        </w:rPr>
        <w:t xml:space="preserve">o průměrnou roční míru inflace v ČR dle Českého statistického úřadu. </w:t>
      </w:r>
    </w:p>
    <w:p w14:paraId="6A39D205" w14:textId="77777777" w:rsidR="00623BAB" w:rsidRPr="008215D3" w:rsidRDefault="00623BAB" w:rsidP="008215D3">
      <w:pPr>
        <w:pStyle w:val="KUJKnormal"/>
        <w:rPr>
          <w:szCs w:val="19"/>
        </w:rPr>
      </w:pPr>
    </w:p>
    <w:p w14:paraId="473B036D" w14:textId="77777777" w:rsidR="00623BAB" w:rsidRPr="008215D3" w:rsidRDefault="00623BAB" w:rsidP="008215D3">
      <w:pPr>
        <w:pStyle w:val="KUJKnormal"/>
        <w:rPr>
          <w:szCs w:val="19"/>
        </w:rPr>
      </w:pPr>
      <w:r w:rsidRPr="008215D3">
        <w:rPr>
          <w:szCs w:val="19"/>
        </w:rPr>
        <w:t>V rámci projektu mohou být podpořeny pouze školy a školská zařízení poskytující školní stravování, jež jsou zapsány v Rejstříku škol a školských zařízení ČR. Dotace je vyplácena výhradně školám a školským zařízením poskytujícím školní stravování na základě podané žádosti o dotaci a smlouvy o poskytnutí dotace uzavřené s krajem, nikoli tedy rodičům či zákonným zástupcům dětí.</w:t>
      </w:r>
    </w:p>
    <w:p w14:paraId="3DFF3EDF" w14:textId="77777777" w:rsidR="00623BAB" w:rsidRPr="008215D3" w:rsidRDefault="00623BAB" w:rsidP="008215D3">
      <w:pPr>
        <w:pStyle w:val="KUJKnormal"/>
        <w:rPr>
          <w:szCs w:val="19"/>
        </w:rPr>
      </w:pPr>
    </w:p>
    <w:p w14:paraId="041BB56D" w14:textId="77777777" w:rsidR="00623BAB" w:rsidRPr="008215D3" w:rsidRDefault="00623BAB" w:rsidP="008215D3">
      <w:pPr>
        <w:pStyle w:val="KUJKnormal"/>
        <w:rPr>
          <w:szCs w:val="19"/>
        </w:rPr>
      </w:pPr>
      <w:r w:rsidRPr="008215D3">
        <w:rPr>
          <w:szCs w:val="19"/>
        </w:rPr>
        <w:t xml:space="preserve">Způsobilé výdaje projektu Jihočeského kraje v OP Z+ budou financovány v režimu ex ante, tj. formou záloh. </w:t>
      </w:r>
    </w:p>
    <w:p w14:paraId="360BC3DB" w14:textId="77777777" w:rsidR="00623BAB" w:rsidRPr="008215D3" w:rsidRDefault="00623BAB" w:rsidP="008215D3">
      <w:pPr>
        <w:pStyle w:val="KUJKnormal"/>
        <w:rPr>
          <w:szCs w:val="19"/>
        </w:rPr>
      </w:pPr>
    </w:p>
    <w:p w14:paraId="7C65774E" w14:textId="77777777" w:rsidR="00623BAB" w:rsidRPr="008215D3" w:rsidRDefault="00623BAB" w:rsidP="008215D3">
      <w:pPr>
        <w:pStyle w:val="KUJKnormal"/>
        <w:rPr>
          <w:b/>
          <w:bCs/>
          <w:szCs w:val="19"/>
        </w:rPr>
      </w:pPr>
      <w:r w:rsidRPr="008215D3">
        <w:rPr>
          <w:b/>
          <w:bCs/>
          <w:szCs w:val="19"/>
        </w:rPr>
        <w:t>Realizace v Jihočeském kraji</w:t>
      </w:r>
    </w:p>
    <w:p w14:paraId="5B9EE7DE" w14:textId="77777777" w:rsidR="00623BAB" w:rsidRPr="008215D3" w:rsidRDefault="00623BAB" w:rsidP="008215D3">
      <w:pPr>
        <w:pStyle w:val="KUJKnormal"/>
        <w:rPr>
          <w:szCs w:val="19"/>
        </w:rPr>
      </w:pPr>
      <w:r w:rsidRPr="008215D3">
        <w:rPr>
          <w:szCs w:val="19"/>
        </w:rPr>
        <w:t>Projekt Jihočeského kraje do OP Z+ bude podán na maximální možnou dobu dvou let, avšak dotační program bude vyhlášen pouze jeden rok s maximální částkou alokace pro Jihočeský kraj dle 81. výzvy</w:t>
      </w:r>
      <w:r>
        <w:rPr>
          <w:szCs w:val="19"/>
        </w:rPr>
        <w:t xml:space="preserve"> </w:t>
      </w:r>
      <w:r w:rsidRPr="008215D3">
        <w:rPr>
          <w:szCs w:val="19"/>
        </w:rPr>
        <w:t>OP Z+, tj. na 37 712 960 Kč. Pokud by částka nebyla ve školním roce 2025/2026 využita, byl by vyhlášen návazný dotační program pro školní rok 2026/2027.</w:t>
      </w:r>
    </w:p>
    <w:p w14:paraId="7A32054A" w14:textId="77777777" w:rsidR="00623BAB" w:rsidRPr="008215D3" w:rsidRDefault="00623BAB" w:rsidP="008215D3">
      <w:pPr>
        <w:pStyle w:val="KUJKnormal"/>
        <w:rPr>
          <w:szCs w:val="19"/>
        </w:rPr>
      </w:pPr>
    </w:p>
    <w:p w14:paraId="6C01D952" w14:textId="77777777" w:rsidR="00623BAB" w:rsidRPr="008215D3" w:rsidRDefault="00623BAB" w:rsidP="008215D3">
      <w:pPr>
        <w:pStyle w:val="KUJKnormal"/>
        <w:rPr>
          <w:szCs w:val="19"/>
        </w:rPr>
      </w:pPr>
      <w:r w:rsidRPr="008215D3">
        <w:rPr>
          <w:szCs w:val="19"/>
        </w:rPr>
        <w:t>Vzhledem k poměru alokace prostředků v 81. výzvě OP Z+ pro Jihočeský kraj a rozšířené cílové skupiny bude časově omezena možnost podávání žádostí o příspěvek na školní stravování ze strany rodičů (předpoklad na září/říjen 2025) i škol, které budou svou žádost o dotaci podávat na základě podaných žádostí rodičů, tj. na základě ověřeného zájmu (předpoklad do poloviny listopadu 2025). Aby bylo při podávání žádostí škol zamezeno nežádoucí soutěži při podávání žádostí, nebude bráno v potaz časové hledisko podání žádosti rodičů ani škol, nýbrž v rámci stanovené lhůty pro příjem žádostí budou přijaty všechny žádosti a alokace dotačního programu bude pak rozdělena poměrně všem školám, které žádost podají ve stanovené lhůtě. Školy obdrží dotaci cca na přelomu ledna/února (předpoklad schválení v RK v prosinci 2025/první polovině ledna 2026, uzavření dotační smlouvy a vyplacení dotace v průběhu ledna/února 2026). Do té doby budou rodiče školní stravování hradit sami a částka jim bude zpětně refundována ve výši odpovídající disponibilním prostředkům schváleným konkrétní škole. Financování školního stravování bude probíhat do vyčerpání finančních prostředků.</w:t>
      </w:r>
    </w:p>
    <w:p w14:paraId="1DFB1F4B" w14:textId="77777777" w:rsidR="00623BAB" w:rsidRPr="008215D3" w:rsidRDefault="00623BAB" w:rsidP="008215D3">
      <w:pPr>
        <w:pStyle w:val="KUJKnormal"/>
        <w:rPr>
          <w:szCs w:val="19"/>
        </w:rPr>
      </w:pPr>
    </w:p>
    <w:p w14:paraId="45EC4781" w14:textId="77777777" w:rsidR="00623BAB" w:rsidRPr="008215D3" w:rsidRDefault="00623BAB" w:rsidP="008215D3">
      <w:pPr>
        <w:pStyle w:val="KUJKnormal"/>
        <w:rPr>
          <w:b/>
          <w:bCs/>
          <w:szCs w:val="19"/>
        </w:rPr>
      </w:pPr>
      <w:r w:rsidRPr="008215D3">
        <w:rPr>
          <w:b/>
          <w:bCs/>
          <w:szCs w:val="19"/>
        </w:rPr>
        <w:t>Administrace projektu/dotačního programu</w:t>
      </w:r>
    </w:p>
    <w:p w14:paraId="147FEFBD" w14:textId="77777777" w:rsidR="00623BAB" w:rsidRDefault="00623BAB" w:rsidP="008215D3">
      <w:pPr>
        <w:pStyle w:val="KUJKnormal"/>
        <w:rPr>
          <w:szCs w:val="19"/>
        </w:rPr>
      </w:pPr>
      <w:r w:rsidRPr="008215D3">
        <w:rPr>
          <w:szCs w:val="19"/>
        </w:rPr>
        <w:t>Zpracovatelem žádosti do OPZ+ i administrátorem dotačního programu bude OEZI. Podávání žádostí ze strany škol a školských zařízení i ze strany rodičů bude probíhat výhradně elektronicky. Školy budou podávat žádost o dotaci přes Portál občana jihočeského kraje, rodiče budou pro podání elektronické žádosti využívat webový portál Obědy pro jihočeské děti (</w:t>
      </w:r>
      <w:hyperlink r:id="rId8" w:history="1">
        <w:r w:rsidRPr="008215D3">
          <w:rPr>
            <w:rStyle w:val="Hypertextovodkaz"/>
            <w:szCs w:val="19"/>
          </w:rPr>
          <w:t>https://obedy.kraj-jihocesky.cz/</w:t>
        </w:r>
      </w:hyperlink>
      <w:r w:rsidRPr="008215D3">
        <w:rPr>
          <w:szCs w:val="19"/>
        </w:rPr>
        <w:t>), přes který probíhá</w:t>
      </w:r>
      <w:r>
        <w:rPr>
          <w:szCs w:val="19"/>
        </w:rPr>
        <w:t xml:space="preserve"> </w:t>
      </w:r>
      <w:r w:rsidRPr="008215D3">
        <w:rPr>
          <w:szCs w:val="19"/>
        </w:rPr>
        <w:t>i vykazování výdajů a vyúčtování ze strany zapojených škol. Ověřování pobírání definovaných dávek bude zajišťovat</w:t>
      </w:r>
      <w:r>
        <w:rPr>
          <w:szCs w:val="19"/>
        </w:rPr>
        <w:t xml:space="preserve"> </w:t>
      </w:r>
      <w:r w:rsidRPr="008215D3">
        <w:rPr>
          <w:szCs w:val="19"/>
        </w:rPr>
        <w:t xml:space="preserve">i nadále Úřad práce ČR online přes webový portál Obědy pro jihočeské děti. Portál bude ale nově nutné přizpůsobit i pro podávání žádostí ze strany ukrajinských rodin, které doposud v Jihočeském kraji příspěvek na stravování čerpat nemohly (humanitární dávka nebyla původně zařazena mezi definované dávky umožňující čerpání příspěvku na školní stravování). Pro Ukrajince bude nutné vytvořit v rámci portálu Obědy pro jihočeské děti speciální sekci, protože stávající systém podávání elektronických žádostí je navázán na rodné číslo rodiče a dítěte. Ukrajinci ale rodné číslo ani jiný unikátní osobní identifikátor nemají (nelze použít pouze jméno a příjmení z důvodu různého přepisu z azbuky do latinky </w:t>
      </w:r>
      <w:r>
        <w:rPr>
          <w:szCs w:val="19"/>
        </w:rPr>
        <w:br/>
      </w:r>
      <w:r w:rsidRPr="008215D3">
        <w:rPr>
          <w:szCs w:val="19"/>
        </w:rPr>
        <w:t>a jednoznačné není ani uvedení data narození). Po dohodě s úřadem práce bude pro identifikaci ukrajinských občanů používán tzv. „čárový kód žádosti“ (</w:t>
      </w:r>
      <w:r w:rsidRPr="008215D3">
        <w:rPr>
          <w:rFonts w:ascii="Calibri" w:hAnsi="Calibri" w:cs="Calibri"/>
          <w:szCs w:val="19"/>
        </w:rPr>
        <w:t>штрих</w:t>
      </w:r>
      <w:r w:rsidRPr="008215D3">
        <w:rPr>
          <w:szCs w:val="19"/>
        </w:rPr>
        <w:t>-</w:t>
      </w:r>
      <w:r w:rsidRPr="008215D3">
        <w:rPr>
          <w:rFonts w:ascii="Calibri" w:hAnsi="Calibri" w:cs="Calibri"/>
          <w:szCs w:val="19"/>
        </w:rPr>
        <w:t>код</w:t>
      </w:r>
      <w:r w:rsidRPr="008215D3">
        <w:rPr>
          <w:szCs w:val="19"/>
        </w:rPr>
        <w:t xml:space="preserve"> // </w:t>
      </w:r>
      <w:r w:rsidRPr="008215D3">
        <w:rPr>
          <w:rFonts w:cs="Neue Haas Grotesk Text Pro"/>
          <w:szCs w:val="19"/>
        </w:rPr>
        <w:t>š</w:t>
      </w:r>
      <w:r w:rsidRPr="008215D3">
        <w:rPr>
          <w:szCs w:val="19"/>
        </w:rPr>
        <w:t>trych-k</w:t>
      </w:r>
      <w:r w:rsidRPr="008215D3">
        <w:rPr>
          <w:rFonts w:cs="Neue Haas Grotesk Text Pro"/>
          <w:szCs w:val="19"/>
        </w:rPr>
        <w:t>ó</w:t>
      </w:r>
      <w:r w:rsidRPr="008215D3">
        <w:rPr>
          <w:szCs w:val="19"/>
        </w:rPr>
        <w:t>d), kter</w:t>
      </w:r>
      <w:r w:rsidRPr="008215D3">
        <w:rPr>
          <w:rFonts w:cs="Neue Haas Grotesk Text Pro"/>
          <w:szCs w:val="19"/>
        </w:rPr>
        <w:t>ý</w:t>
      </w:r>
      <w:r w:rsidRPr="008215D3">
        <w:rPr>
          <w:szCs w:val="19"/>
        </w:rPr>
        <w:t xml:space="preserve"> se Ukrajincům generuje při podání žádosti</w:t>
      </w:r>
      <w:r>
        <w:rPr>
          <w:szCs w:val="19"/>
        </w:rPr>
        <w:t xml:space="preserve"> </w:t>
      </w:r>
      <w:r w:rsidRPr="008215D3">
        <w:rPr>
          <w:szCs w:val="19"/>
        </w:rPr>
        <w:t>o humanitární dávku. Díky tomu bude zachován jednotný systém elektronického podávání žádostí</w:t>
      </w:r>
      <w:r>
        <w:rPr>
          <w:szCs w:val="19"/>
        </w:rPr>
        <w:t xml:space="preserve"> </w:t>
      </w:r>
      <w:r>
        <w:rPr>
          <w:szCs w:val="19"/>
        </w:rPr>
        <w:br/>
      </w:r>
      <w:r w:rsidRPr="008215D3">
        <w:rPr>
          <w:szCs w:val="19"/>
        </w:rPr>
        <w:t xml:space="preserve">a ověřování dávek pro všechny žadatele. </w:t>
      </w:r>
    </w:p>
    <w:p w14:paraId="0B1CF144" w14:textId="77777777" w:rsidR="00623BAB" w:rsidRDefault="00623BAB" w:rsidP="008215D3">
      <w:pPr>
        <w:pStyle w:val="KUJKnormal"/>
        <w:rPr>
          <w:szCs w:val="19"/>
        </w:rPr>
      </w:pPr>
    </w:p>
    <w:bookmarkEnd w:id="1"/>
    <w:p w14:paraId="70607BBE" w14:textId="77777777" w:rsidR="00623BAB" w:rsidRPr="00F96471" w:rsidRDefault="00623BAB" w:rsidP="00F96471">
      <w:pPr>
        <w:pStyle w:val="KUJKnormal"/>
        <w:rPr>
          <w:szCs w:val="19"/>
        </w:rPr>
      </w:pPr>
      <w:r w:rsidRPr="00F96471">
        <w:rPr>
          <w:szCs w:val="19"/>
        </w:rPr>
        <w:t>Návrh projednala dne 27. 3. 2025 Rada Jihočeského kraje, která svým usnesením č</w:t>
      </w:r>
      <w:r>
        <w:rPr>
          <w:szCs w:val="19"/>
        </w:rPr>
        <w:t>.</w:t>
      </w:r>
      <w:r w:rsidRPr="00F96471">
        <w:rPr>
          <w:szCs w:val="19"/>
        </w:rPr>
        <w:t> 381/2025/RK-10</w:t>
      </w:r>
      <w:r>
        <w:rPr>
          <w:szCs w:val="19"/>
        </w:rPr>
        <w:t xml:space="preserve"> </w:t>
      </w:r>
      <w:r w:rsidRPr="00F96471">
        <w:rPr>
          <w:szCs w:val="19"/>
        </w:rPr>
        <w:t xml:space="preserve">doporučila </w:t>
      </w:r>
      <w:r>
        <w:rPr>
          <w:szCs w:val="19"/>
        </w:rPr>
        <w:t xml:space="preserve">zastupitelstvu kraje realizaci projektu „Obědy pro jihočeské děti II.“ a jeho spolufinancování z rozpočtu kraje </w:t>
      </w:r>
      <w:r w:rsidRPr="00F96471">
        <w:rPr>
          <w:szCs w:val="19"/>
        </w:rPr>
        <w:t>schválit.</w:t>
      </w:r>
    </w:p>
    <w:p w14:paraId="40781126" w14:textId="77777777" w:rsidR="00623BAB" w:rsidRPr="008215D3" w:rsidRDefault="00623BAB" w:rsidP="008215D3">
      <w:pPr>
        <w:pStyle w:val="KUJKnormal"/>
        <w:rPr>
          <w:szCs w:val="19"/>
        </w:rPr>
      </w:pPr>
    </w:p>
    <w:p w14:paraId="5936B2A6" w14:textId="77777777" w:rsidR="00623BAB" w:rsidRPr="008215D3" w:rsidRDefault="00623BAB" w:rsidP="008215D3">
      <w:pPr>
        <w:pStyle w:val="KUJKnormal"/>
        <w:rPr>
          <w:szCs w:val="19"/>
        </w:rPr>
      </w:pPr>
      <w:r w:rsidRPr="008215D3">
        <w:rPr>
          <w:szCs w:val="19"/>
        </w:rPr>
        <w:t>Finanční nároky a krytí:</w:t>
      </w:r>
      <w:bookmarkStart w:id="3" w:name="_Hlk133236542"/>
      <w:r w:rsidRPr="008215D3">
        <w:rPr>
          <w:szCs w:val="19"/>
        </w:rPr>
        <w:t xml:space="preserve"> </w:t>
      </w:r>
      <w:bookmarkEnd w:id="3"/>
      <w:r w:rsidRPr="008215D3">
        <w:rPr>
          <w:szCs w:val="19"/>
        </w:rPr>
        <w:t>Celkové výdaje z rozpočtu Jihočeského kraje činí 38 712 960 Kč, z toho celkové způsobilé výdaje jsou ve výši 37 712 960 Kč (kofinancování způsobilých výdajů (10 %) je ve výši</w:t>
      </w:r>
      <w:r>
        <w:rPr>
          <w:szCs w:val="19"/>
        </w:rPr>
        <w:t xml:space="preserve"> </w:t>
      </w:r>
      <w:r w:rsidRPr="008215D3">
        <w:rPr>
          <w:szCs w:val="19"/>
        </w:rPr>
        <w:t>3 771 296 Kč, předfinancování způsobilých výdajů (90 %) 33 941 664 Kč) a financování nezpůsobilých výdajů je ve výši 1 000 000 Kč.</w:t>
      </w:r>
    </w:p>
    <w:p w14:paraId="22706DF6" w14:textId="77777777" w:rsidR="00623BAB" w:rsidRPr="008215D3" w:rsidRDefault="00623BAB" w:rsidP="008215D3">
      <w:pPr>
        <w:pStyle w:val="KUJKnormal"/>
        <w:rPr>
          <w:szCs w:val="19"/>
        </w:rPr>
      </w:pPr>
    </w:p>
    <w:p w14:paraId="4E37402C" w14:textId="77777777" w:rsidR="00623BAB" w:rsidRDefault="00623BAB" w:rsidP="009B32CE">
      <w:pPr>
        <w:pStyle w:val="KUJKnormal"/>
      </w:pPr>
      <w:r w:rsidRPr="008215D3">
        <w:rPr>
          <w:szCs w:val="19"/>
        </w:rPr>
        <w:t xml:space="preserve">Vyjádření správce rozpočtu: </w:t>
      </w:r>
      <w:r>
        <w:t>Ing. Michaela Zárubová (OEKO):</w:t>
      </w:r>
      <w:r w:rsidRPr="007666AA">
        <w:t xml:space="preserve"> </w:t>
      </w:r>
      <w:r>
        <w:t xml:space="preserve"> Souhlasím</w:t>
      </w:r>
      <w:r w:rsidRPr="007666AA">
        <w:t xml:space="preserve"> - </w:t>
      </w:r>
      <w:r>
        <w:t xml:space="preserve">prostředky na projekt nejsou zahrnuty </w:t>
      </w:r>
      <w:r>
        <w:br/>
        <w:t xml:space="preserve">v rozpočtu roku 2025, proto bylo předloženo RK rozpočtové opatření na uvolnění 28,53 mil. Kč z Fondu rezerv </w:t>
      </w:r>
      <w:r>
        <w:br/>
        <w:t>a rozvoje, dále 10,18 mil. Kč bude řešeno navýšením příjmů ORJ 20 v roce 2025. Zároveň budou příjmy ve výši 23,76 mil. Kč součástí návrhu rozpočtu na rok 2026.</w:t>
      </w:r>
    </w:p>
    <w:p w14:paraId="38A5AE9A" w14:textId="77777777" w:rsidR="00623BAB" w:rsidRPr="008215D3" w:rsidRDefault="00623BAB" w:rsidP="008215D3">
      <w:pPr>
        <w:pStyle w:val="KUJKnormal"/>
        <w:rPr>
          <w:szCs w:val="19"/>
        </w:rPr>
      </w:pPr>
    </w:p>
    <w:p w14:paraId="472822E3" w14:textId="77777777" w:rsidR="00623BAB" w:rsidRPr="008215D3" w:rsidRDefault="00623BAB" w:rsidP="008215D3">
      <w:pPr>
        <w:pStyle w:val="KUJKnormal"/>
        <w:rPr>
          <w:szCs w:val="19"/>
        </w:rPr>
      </w:pPr>
      <w:r w:rsidRPr="008215D3">
        <w:rPr>
          <w:szCs w:val="19"/>
        </w:rPr>
        <w:t>Návrh projednán (stanoviska): OŠMT</w:t>
      </w:r>
    </w:p>
    <w:p w14:paraId="69CF293E" w14:textId="77777777" w:rsidR="00623BAB" w:rsidRPr="008215D3" w:rsidRDefault="00623BAB" w:rsidP="008215D3">
      <w:pPr>
        <w:pStyle w:val="KUJKnormal"/>
        <w:rPr>
          <w:szCs w:val="19"/>
        </w:rPr>
      </w:pPr>
    </w:p>
    <w:p w14:paraId="4B6E1400" w14:textId="77777777" w:rsidR="00623BAB" w:rsidRPr="002C42F8" w:rsidRDefault="00623BAB" w:rsidP="008215D3">
      <w:pPr>
        <w:pStyle w:val="KUJKnormal"/>
        <w:rPr>
          <w:b/>
          <w:szCs w:val="19"/>
        </w:rPr>
      </w:pPr>
      <w:r w:rsidRPr="002C42F8">
        <w:rPr>
          <w:b/>
          <w:szCs w:val="19"/>
        </w:rPr>
        <w:t>PŘÍLOHY:</w:t>
      </w:r>
    </w:p>
    <w:p w14:paraId="59023417" w14:textId="77777777" w:rsidR="00623BAB" w:rsidRPr="002C42F8" w:rsidRDefault="00623BAB" w:rsidP="007F01B7">
      <w:pPr>
        <w:pStyle w:val="KUJKcislovany"/>
        <w:rPr>
          <w:szCs w:val="19"/>
        </w:rPr>
      </w:pPr>
      <w:r w:rsidRPr="002C42F8">
        <w:rPr>
          <w:szCs w:val="19"/>
        </w:rPr>
        <w:t>Příloha č. 1 (Příloha č. 1 k návrhu č. 84_ZK_25_Formulář evropského projektu.xlsx)</w:t>
      </w:r>
    </w:p>
    <w:p w14:paraId="44954C5E" w14:textId="77777777" w:rsidR="00623BAB" w:rsidRPr="002C42F8" w:rsidRDefault="00623BAB" w:rsidP="008215D3">
      <w:pPr>
        <w:pStyle w:val="KUJKnormal"/>
        <w:rPr>
          <w:szCs w:val="19"/>
        </w:rPr>
      </w:pPr>
    </w:p>
    <w:p w14:paraId="2E9F8F36" w14:textId="77777777" w:rsidR="00623BAB" w:rsidRPr="008215D3" w:rsidRDefault="00623BAB" w:rsidP="008215D3">
      <w:pPr>
        <w:pStyle w:val="KUJKnormal"/>
        <w:rPr>
          <w:b/>
          <w:szCs w:val="19"/>
        </w:rPr>
      </w:pPr>
      <w:r w:rsidRPr="008215D3">
        <w:rPr>
          <w:b/>
          <w:szCs w:val="19"/>
        </w:rPr>
        <w:t>Zodpovídá:</w:t>
      </w:r>
      <w:r>
        <w:rPr>
          <w:b/>
          <w:szCs w:val="19"/>
        </w:rPr>
        <w:t xml:space="preserve"> </w:t>
      </w:r>
      <w:r w:rsidRPr="008215D3">
        <w:rPr>
          <w:bCs/>
          <w:szCs w:val="19"/>
        </w:rPr>
        <w:t>vedoucí OEZI – Ing. Jan Návara</w:t>
      </w:r>
    </w:p>
    <w:p w14:paraId="3A45D506" w14:textId="77777777" w:rsidR="00623BAB" w:rsidRPr="008215D3" w:rsidRDefault="00623BAB" w:rsidP="008215D3">
      <w:pPr>
        <w:pStyle w:val="KUJKnormal"/>
        <w:rPr>
          <w:szCs w:val="19"/>
        </w:rPr>
      </w:pPr>
    </w:p>
    <w:p w14:paraId="240A08D2" w14:textId="77777777" w:rsidR="00623BAB" w:rsidRPr="008215D3" w:rsidRDefault="00623BAB" w:rsidP="008215D3">
      <w:pPr>
        <w:pStyle w:val="KUJKnormal"/>
        <w:rPr>
          <w:szCs w:val="19"/>
        </w:rPr>
      </w:pPr>
      <w:r w:rsidRPr="008215D3">
        <w:rPr>
          <w:szCs w:val="19"/>
        </w:rPr>
        <w:t>Termín kontroly: 31. 10. 2027</w:t>
      </w:r>
    </w:p>
    <w:p w14:paraId="30011843" w14:textId="77777777" w:rsidR="00623BAB" w:rsidRPr="008215D3" w:rsidRDefault="00623BAB" w:rsidP="008215D3">
      <w:pPr>
        <w:pStyle w:val="KUJKnormal"/>
        <w:rPr>
          <w:szCs w:val="19"/>
        </w:rPr>
      </w:pPr>
      <w:r w:rsidRPr="008215D3">
        <w:rPr>
          <w:szCs w:val="19"/>
        </w:rPr>
        <w:t>Termín splnění: 31. 10. 2027</w:t>
      </w:r>
    </w:p>
    <w:p w14:paraId="350C901E" w14:textId="77777777" w:rsidR="00623BAB" w:rsidRPr="008215D3" w:rsidRDefault="00623BAB" w:rsidP="008215D3">
      <w:pPr>
        <w:pStyle w:val="KUJKnormal"/>
        <w:rPr>
          <w:szCs w:val="19"/>
        </w:rPr>
      </w:pPr>
    </w:p>
    <w:p w14:paraId="3E019734" w14:textId="77777777" w:rsidR="00623BAB" w:rsidRPr="008215D3" w:rsidRDefault="00623BAB" w:rsidP="002E75F3">
      <w:pPr>
        <w:pStyle w:val="KUJKnormal"/>
        <w:rPr>
          <w:szCs w:val="19"/>
        </w:rPr>
      </w:pPr>
    </w:p>
    <w:p w14:paraId="3C98D90B" w14:textId="2DA24ED2" w:rsidR="0051330A" w:rsidRPr="0051330A" w:rsidRDefault="0051330A" w:rsidP="0051330A"/>
    <w:sectPr w:rsidR="0051330A" w:rsidRPr="0051330A" w:rsidSect="002E0DE5">
      <w:footerReference w:type="default" r:id="rId9"/>
      <w:headerReference w:type="first" r:id="rId10"/>
      <w:footerReference w:type="first" r:id="rId11"/>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C0DF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C0DF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3937" w14:textId="77777777" w:rsidR="00623BAB" w:rsidRDefault="00623BAB" w:rsidP="00623BAB">
    <w:r>
      <w:rPr>
        <w:noProof/>
      </w:rPr>
      <w:pict w14:anchorId="6C02B37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EE88BFC" w14:textId="77777777" w:rsidR="00623BAB" w:rsidRPr="00D405BE" w:rsidRDefault="00623BAB" w:rsidP="00623BAB">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1A4F2382" w14:textId="77777777" w:rsidR="00623BAB" w:rsidRPr="00D405BE" w:rsidRDefault="00623BAB" w:rsidP="00623BAB">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37B189B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0FC6CD9">
        <v:rect id="_x0000_i1026" style="width:481.9pt;height:2pt" o:hralign="center" o:hrstd="t" o:hrnoshade="t" o:hr="t" fillcolor="black" stroked="f"/>
      </w:pict>
    </w:r>
  </w:p>
  <w:p w14:paraId="562CF598" w14:textId="77777777" w:rsidR="00623BAB" w:rsidRPr="00623BAB" w:rsidRDefault="00623BAB" w:rsidP="00623B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665EB6"/>
    <w:multiLevelType w:val="hybridMultilevel"/>
    <w:tmpl w:val="FEA808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72B2A3D"/>
    <w:multiLevelType w:val="hybridMultilevel"/>
    <w:tmpl w:val="4AA87A1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3"/>
  </w:num>
  <w:num w:numId="3" w16cid:durableId="1454440900">
    <w:abstractNumId w:val="11"/>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10"/>
  </w:num>
  <w:num w:numId="11" w16cid:durableId="219826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1183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3BAB"/>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06"/>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1266"/>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594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basedOn w:val="Standardnpsmoodstavce"/>
    <w:uiPriority w:val="99"/>
    <w:unhideWhenUsed/>
    <w:rsid w:val="00623B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bedy.kraj-jihoces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1460</Words>
  <Characters>8620</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2025-04-11T11:25:00Z</dcterms:created>
  <dcterms:modified xsi:type="dcterms:W3CDTF">2025-04-11T11:25:00Z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6762320</vt:i4>
  </property>
  <property fmtid="{D5CDD505-2E9C-101B-9397-08002B2CF9AE}" pid="5" name="UlozitJako">
    <vt:lpwstr>C:\Users\mrazkova\AppData\Local\Temp\iU17860052\Zastupitelstvo\2025-04-10\Navrhy\84-ZK-25.</vt:lpwstr>
  </property>
  <property fmtid="{D5CDD505-2E9C-101B-9397-08002B2CF9AE}" pid="6" name="Zpracovat">
    <vt:bool>false</vt:bool>
  </property>
</Properties>
</file>