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4340D" w14:paraId="1C3234E6" w14:textId="77777777" w:rsidTr="00C53FF5">
        <w:trPr>
          <w:trHeight w:hRule="exact" w:val="397"/>
        </w:trPr>
        <w:tc>
          <w:tcPr>
            <w:tcW w:w="2376" w:type="dxa"/>
            <w:hideMark/>
          </w:tcPr>
          <w:p w14:paraId="0B9A3358" w14:textId="77777777" w:rsidR="00F4340D" w:rsidRDefault="00F4340D" w:rsidP="00970720">
            <w:pPr>
              <w:pStyle w:val="KUJKtucny"/>
            </w:pPr>
            <w:r>
              <w:t>Datum jednání:</w:t>
            </w:r>
          </w:p>
        </w:tc>
        <w:tc>
          <w:tcPr>
            <w:tcW w:w="3828" w:type="dxa"/>
            <w:hideMark/>
          </w:tcPr>
          <w:p w14:paraId="35B06C52" w14:textId="77777777" w:rsidR="00F4340D" w:rsidRDefault="00F4340D" w:rsidP="00970720">
            <w:pPr>
              <w:pStyle w:val="KUJKnormal"/>
            </w:pPr>
            <w:r>
              <w:t>10. 04. 2025</w:t>
            </w:r>
          </w:p>
        </w:tc>
        <w:tc>
          <w:tcPr>
            <w:tcW w:w="2126" w:type="dxa"/>
            <w:hideMark/>
          </w:tcPr>
          <w:p w14:paraId="4C3845DA" w14:textId="77777777" w:rsidR="00F4340D" w:rsidRPr="00DC04AE" w:rsidRDefault="00F4340D" w:rsidP="00970720">
            <w:pPr>
              <w:pStyle w:val="KUJKtucny"/>
              <w:rPr>
                <w:sz w:val="28"/>
              </w:rPr>
            </w:pPr>
            <w:r>
              <w:t xml:space="preserve">Bod programu: </w:t>
            </w:r>
            <w:r>
              <w:rPr>
                <w:sz w:val="28"/>
              </w:rPr>
              <w:t>16</w:t>
            </w:r>
          </w:p>
        </w:tc>
        <w:tc>
          <w:tcPr>
            <w:tcW w:w="850" w:type="dxa"/>
          </w:tcPr>
          <w:p w14:paraId="25DCA1A6" w14:textId="77777777" w:rsidR="00F4340D" w:rsidRDefault="00F4340D" w:rsidP="00970720">
            <w:pPr>
              <w:pStyle w:val="KUJKnormal"/>
            </w:pPr>
          </w:p>
        </w:tc>
      </w:tr>
      <w:tr w:rsidR="00F4340D" w14:paraId="6ACAD13D" w14:textId="77777777" w:rsidTr="00C53FF5">
        <w:trPr>
          <w:cantSplit/>
          <w:trHeight w:hRule="exact" w:val="397"/>
        </w:trPr>
        <w:tc>
          <w:tcPr>
            <w:tcW w:w="2376" w:type="dxa"/>
            <w:hideMark/>
          </w:tcPr>
          <w:p w14:paraId="4D241BFE" w14:textId="77777777" w:rsidR="00F4340D" w:rsidRDefault="00F4340D" w:rsidP="00970720">
            <w:pPr>
              <w:pStyle w:val="KUJKtucny"/>
            </w:pPr>
            <w:r>
              <w:t>Číslo návrhu:</w:t>
            </w:r>
          </w:p>
        </w:tc>
        <w:tc>
          <w:tcPr>
            <w:tcW w:w="6804" w:type="dxa"/>
            <w:gridSpan w:val="3"/>
            <w:hideMark/>
          </w:tcPr>
          <w:p w14:paraId="7D52C134" w14:textId="77777777" w:rsidR="00F4340D" w:rsidRDefault="00F4340D" w:rsidP="00970720">
            <w:pPr>
              <w:pStyle w:val="KUJKnormal"/>
            </w:pPr>
            <w:r>
              <w:t>138/ZK/25</w:t>
            </w:r>
          </w:p>
        </w:tc>
      </w:tr>
      <w:tr w:rsidR="00F4340D" w14:paraId="682133FF" w14:textId="77777777" w:rsidTr="00C53FF5">
        <w:trPr>
          <w:trHeight w:val="397"/>
        </w:trPr>
        <w:tc>
          <w:tcPr>
            <w:tcW w:w="2376" w:type="dxa"/>
          </w:tcPr>
          <w:p w14:paraId="01C9F9FD" w14:textId="77777777" w:rsidR="00F4340D" w:rsidRDefault="00F4340D" w:rsidP="00970720"/>
          <w:p w14:paraId="3C8816E2" w14:textId="77777777" w:rsidR="00F4340D" w:rsidRDefault="00F4340D" w:rsidP="00970720">
            <w:pPr>
              <w:pStyle w:val="KUJKtucny"/>
            </w:pPr>
            <w:r>
              <w:t>Název bodu:</w:t>
            </w:r>
          </w:p>
        </w:tc>
        <w:tc>
          <w:tcPr>
            <w:tcW w:w="6804" w:type="dxa"/>
            <w:gridSpan w:val="3"/>
          </w:tcPr>
          <w:p w14:paraId="4BE2A9E1" w14:textId="77777777" w:rsidR="00F4340D" w:rsidRDefault="00F4340D" w:rsidP="00970720"/>
          <w:p w14:paraId="519BFC0C" w14:textId="77777777" w:rsidR="00F4340D" w:rsidRDefault="00F4340D" w:rsidP="00970720">
            <w:pPr>
              <w:pStyle w:val="KUJKtucny"/>
              <w:rPr>
                <w:sz w:val="22"/>
                <w:szCs w:val="22"/>
              </w:rPr>
            </w:pPr>
            <w:r>
              <w:rPr>
                <w:sz w:val="22"/>
                <w:szCs w:val="22"/>
              </w:rPr>
              <w:t>Veřejná podpora - silniční hospodářství</w:t>
            </w:r>
          </w:p>
        </w:tc>
      </w:tr>
    </w:tbl>
    <w:p w14:paraId="5CD49D18" w14:textId="77777777" w:rsidR="00F4340D" w:rsidRDefault="00F4340D" w:rsidP="00C53FF5">
      <w:pPr>
        <w:pStyle w:val="KUJKnormal"/>
        <w:rPr>
          <w:b/>
          <w:bCs/>
        </w:rPr>
      </w:pPr>
      <w:r>
        <w:rPr>
          <w:b/>
          <w:bCs/>
        </w:rPr>
        <w:pict w14:anchorId="4EFE4497">
          <v:rect id="_x0000_i1029" style="width:453.6pt;height:1.5pt" o:hralign="center" o:hrstd="t" o:hrnoshade="t" o:hr="t" fillcolor="black" stroked="f"/>
        </w:pict>
      </w:r>
    </w:p>
    <w:p w14:paraId="639B8B4A" w14:textId="77777777" w:rsidR="00F4340D" w:rsidRDefault="00F4340D" w:rsidP="00C53FF5">
      <w:pPr>
        <w:pStyle w:val="KUJKnormal"/>
      </w:pPr>
    </w:p>
    <w:p w14:paraId="613B9376" w14:textId="77777777" w:rsidR="00F4340D" w:rsidRDefault="00F4340D" w:rsidP="00C53FF5"/>
    <w:tbl>
      <w:tblPr>
        <w:tblW w:w="0" w:type="auto"/>
        <w:tblCellMar>
          <w:left w:w="70" w:type="dxa"/>
          <w:right w:w="70" w:type="dxa"/>
        </w:tblCellMar>
        <w:tblLook w:val="04A0" w:firstRow="1" w:lastRow="0" w:firstColumn="1" w:lastColumn="0" w:noHBand="0" w:noVBand="1"/>
      </w:tblPr>
      <w:tblGrid>
        <w:gridCol w:w="2350"/>
        <w:gridCol w:w="6862"/>
      </w:tblGrid>
      <w:tr w:rsidR="00F4340D" w14:paraId="711F3EBE" w14:textId="77777777" w:rsidTr="002559B8">
        <w:trPr>
          <w:trHeight w:val="397"/>
        </w:trPr>
        <w:tc>
          <w:tcPr>
            <w:tcW w:w="2350" w:type="dxa"/>
            <w:hideMark/>
          </w:tcPr>
          <w:p w14:paraId="45950031" w14:textId="77777777" w:rsidR="00F4340D" w:rsidRDefault="00F4340D" w:rsidP="002559B8">
            <w:pPr>
              <w:pStyle w:val="KUJKtucny"/>
            </w:pPr>
            <w:r>
              <w:t>Předkladatel:</w:t>
            </w:r>
          </w:p>
        </w:tc>
        <w:tc>
          <w:tcPr>
            <w:tcW w:w="6862" w:type="dxa"/>
          </w:tcPr>
          <w:p w14:paraId="003527FA" w14:textId="77777777" w:rsidR="00F4340D" w:rsidRDefault="00F4340D" w:rsidP="002559B8">
            <w:pPr>
              <w:pStyle w:val="KUJKnormal"/>
            </w:pPr>
            <w:r>
              <w:t>MUDr. Martin Kuba</w:t>
            </w:r>
          </w:p>
          <w:p w14:paraId="124B62F0" w14:textId="77777777" w:rsidR="00F4340D" w:rsidRDefault="00F4340D" w:rsidP="002559B8"/>
        </w:tc>
      </w:tr>
      <w:tr w:rsidR="00F4340D" w14:paraId="5213FAB0" w14:textId="77777777" w:rsidTr="002559B8">
        <w:trPr>
          <w:trHeight w:val="397"/>
        </w:trPr>
        <w:tc>
          <w:tcPr>
            <w:tcW w:w="2350" w:type="dxa"/>
          </w:tcPr>
          <w:p w14:paraId="56B6F803" w14:textId="77777777" w:rsidR="00F4340D" w:rsidRDefault="00F4340D" w:rsidP="002559B8">
            <w:pPr>
              <w:pStyle w:val="KUJKtucny"/>
            </w:pPr>
            <w:r>
              <w:t>Zpracoval:</w:t>
            </w:r>
          </w:p>
          <w:p w14:paraId="44557A35" w14:textId="77777777" w:rsidR="00F4340D" w:rsidRDefault="00F4340D" w:rsidP="002559B8"/>
        </w:tc>
        <w:tc>
          <w:tcPr>
            <w:tcW w:w="6862" w:type="dxa"/>
            <w:hideMark/>
          </w:tcPr>
          <w:p w14:paraId="1E3E2B68" w14:textId="77777777" w:rsidR="00F4340D" w:rsidRDefault="00F4340D" w:rsidP="002559B8">
            <w:pPr>
              <w:pStyle w:val="KUJKnormal"/>
            </w:pPr>
            <w:r>
              <w:t>ODSH</w:t>
            </w:r>
          </w:p>
        </w:tc>
      </w:tr>
      <w:tr w:rsidR="00F4340D" w14:paraId="5CD66F5A" w14:textId="77777777" w:rsidTr="002559B8">
        <w:trPr>
          <w:trHeight w:val="397"/>
        </w:trPr>
        <w:tc>
          <w:tcPr>
            <w:tcW w:w="2350" w:type="dxa"/>
          </w:tcPr>
          <w:p w14:paraId="63851DD5" w14:textId="77777777" w:rsidR="00F4340D" w:rsidRPr="009715F9" w:rsidRDefault="00F4340D" w:rsidP="002559B8">
            <w:pPr>
              <w:pStyle w:val="KUJKnormal"/>
              <w:rPr>
                <w:b/>
              </w:rPr>
            </w:pPr>
            <w:r w:rsidRPr="009715F9">
              <w:rPr>
                <w:b/>
              </w:rPr>
              <w:t>Vedoucí odboru:</w:t>
            </w:r>
          </w:p>
          <w:p w14:paraId="04D663CD" w14:textId="77777777" w:rsidR="00F4340D" w:rsidRDefault="00F4340D" w:rsidP="002559B8"/>
        </w:tc>
        <w:tc>
          <w:tcPr>
            <w:tcW w:w="6862" w:type="dxa"/>
            <w:hideMark/>
          </w:tcPr>
          <w:p w14:paraId="2FBF66C5" w14:textId="77777777" w:rsidR="00F4340D" w:rsidRDefault="00F4340D" w:rsidP="002559B8">
            <w:pPr>
              <w:pStyle w:val="KUJKnormal"/>
            </w:pPr>
            <w:r>
              <w:t>JUDr. Andrea Tetourová</w:t>
            </w:r>
          </w:p>
        </w:tc>
      </w:tr>
    </w:tbl>
    <w:p w14:paraId="297ABD18" w14:textId="77777777" w:rsidR="00F4340D" w:rsidRDefault="00F4340D" w:rsidP="00C53FF5">
      <w:pPr>
        <w:pStyle w:val="KUJKnormal"/>
      </w:pPr>
    </w:p>
    <w:p w14:paraId="64B4FCAF" w14:textId="77777777" w:rsidR="00F4340D" w:rsidRPr="0052161F" w:rsidRDefault="00F4340D" w:rsidP="00C53FF5">
      <w:pPr>
        <w:pStyle w:val="KUJKtucny"/>
      </w:pPr>
      <w:r w:rsidRPr="0052161F">
        <w:t>NÁVRH USNESENÍ</w:t>
      </w:r>
    </w:p>
    <w:p w14:paraId="0E4EC3E8" w14:textId="77777777" w:rsidR="00F4340D" w:rsidRDefault="00F4340D" w:rsidP="00C53FF5">
      <w:pPr>
        <w:pStyle w:val="KUJKnormal"/>
        <w:rPr>
          <w:rFonts w:ascii="Calibri" w:hAnsi="Calibri" w:cs="Calibri"/>
          <w:sz w:val="12"/>
          <w:szCs w:val="12"/>
        </w:rPr>
      </w:pPr>
      <w:bookmarkStart w:id="0" w:name="US_ZaVeVeci"/>
      <w:bookmarkEnd w:id="0"/>
    </w:p>
    <w:p w14:paraId="7EBE5832" w14:textId="77777777" w:rsidR="00F4340D" w:rsidRPr="00841DFC" w:rsidRDefault="00F4340D" w:rsidP="00C53FF5">
      <w:pPr>
        <w:pStyle w:val="KUJKPolozka"/>
      </w:pPr>
      <w:r w:rsidRPr="00841DFC">
        <w:t>Zastupitelstvo Jihočeského kraje</w:t>
      </w:r>
    </w:p>
    <w:p w14:paraId="674A69DA" w14:textId="77777777" w:rsidR="00F4340D" w:rsidRPr="009A517B" w:rsidRDefault="00F4340D" w:rsidP="00B459BA">
      <w:pPr>
        <w:pStyle w:val="KUJKdoplnek2"/>
      </w:pPr>
      <w:r w:rsidRPr="0005454E">
        <w:t>pověřuje</w:t>
      </w:r>
    </w:p>
    <w:p w14:paraId="2CCBBB6B" w14:textId="77777777" w:rsidR="00F4340D" w:rsidRDefault="00F4340D" w:rsidP="00C53FF5">
      <w:pPr>
        <w:pStyle w:val="KUJKnormal"/>
      </w:pPr>
      <w:r w:rsidRPr="00B459BA">
        <w:t>organizaci Správa a údržba silnic Jihočeského kraje, se sídlem Nemanická 2133/10, 370 01 České Budějovice, IČO 709 71 641 závazkem veřejné služby správy a údržby silnic II. a III. třídy na území Jihočeského kraje jako předmětu veřejného hospodářského zájmu Jihočeského kraje na období let 2025 -2032</w:t>
      </w:r>
      <w:r>
        <w:t>;</w:t>
      </w:r>
    </w:p>
    <w:p w14:paraId="1EE1CEF1" w14:textId="77777777" w:rsidR="00F4340D" w:rsidRPr="00335ECA" w:rsidRDefault="00F4340D" w:rsidP="00B459BA">
      <w:pPr>
        <w:pStyle w:val="KUJKdoplnek2"/>
      </w:pPr>
      <w:r w:rsidRPr="0016675C">
        <w:t>stanoví</w:t>
      </w:r>
    </w:p>
    <w:p w14:paraId="57CCA993" w14:textId="77777777" w:rsidR="00F4340D" w:rsidRDefault="00F4340D" w:rsidP="00B459BA">
      <w:pPr>
        <w:pStyle w:val="KUJKnormal"/>
        <w:numPr>
          <w:ilvl w:val="0"/>
          <w:numId w:val="11"/>
        </w:numPr>
      </w:pPr>
      <w:r>
        <w:t>náplň závazku veřejné služby v rámci správy a údržby silnic II. a III. třídy, na území Jihočeského kraje dle části I. tohoto usnesení takto:</w:t>
      </w:r>
    </w:p>
    <w:p w14:paraId="619244D1" w14:textId="77777777" w:rsidR="00F4340D" w:rsidRDefault="00F4340D" w:rsidP="00B459BA">
      <w:pPr>
        <w:pStyle w:val="KUJKnormal"/>
        <w:numPr>
          <w:ilvl w:val="0"/>
          <w:numId w:val="12"/>
        </w:numPr>
      </w:pPr>
      <w:r>
        <w:t>zajištění sjízdnosti v zimním období,</w:t>
      </w:r>
    </w:p>
    <w:p w14:paraId="4366ECA7" w14:textId="77777777" w:rsidR="00F4340D" w:rsidRDefault="00F4340D" w:rsidP="00B459BA">
      <w:pPr>
        <w:pStyle w:val="KUJKnormal"/>
        <w:numPr>
          <w:ilvl w:val="0"/>
          <w:numId w:val="12"/>
        </w:numPr>
      </w:pPr>
      <w:r>
        <w:t>zajištění prací na vozovkách,</w:t>
      </w:r>
    </w:p>
    <w:p w14:paraId="5E919DA1" w14:textId="77777777" w:rsidR="00F4340D" w:rsidRDefault="00F4340D" w:rsidP="00B459BA">
      <w:pPr>
        <w:pStyle w:val="KUJKnormal"/>
        <w:numPr>
          <w:ilvl w:val="0"/>
          <w:numId w:val="12"/>
        </w:numPr>
      </w:pPr>
      <w:r>
        <w:t>zajištění prací na dopravním značení,</w:t>
      </w:r>
    </w:p>
    <w:p w14:paraId="135916F6" w14:textId="77777777" w:rsidR="00F4340D" w:rsidRDefault="00F4340D" w:rsidP="00B459BA">
      <w:pPr>
        <w:pStyle w:val="KUJKnormal"/>
        <w:numPr>
          <w:ilvl w:val="0"/>
          <w:numId w:val="12"/>
        </w:numPr>
      </w:pPr>
      <w:r>
        <w:t>zajištění prací na bezpečnostních zařízeních a vybavení,</w:t>
      </w:r>
    </w:p>
    <w:p w14:paraId="5BD29D4D" w14:textId="77777777" w:rsidR="00F4340D" w:rsidRDefault="00F4340D" w:rsidP="00B459BA">
      <w:pPr>
        <w:pStyle w:val="KUJKnormal"/>
        <w:numPr>
          <w:ilvl w:val="0"/>
          <w:numId w:val="12"/>
        </w:numPr>
      </w:pPr>
      <w:r>
        <w:t>zajištění prací na silničním tělese a odvodnění,</w:t>
      </w:r>
    </w:p>
    <w:p w14:paraId="39E98D2E" w14:textId="77777777" w:rsidR="00F4340D" w:rsidRDefault="00F4340D" w:rsidP="00B459BA">
      <w:pPr>
        <w:pStyle w:val="KUJKnormal"/>
        <w:numPr>
          <w:ilvl w:val="0"/>
          <w:numId w:val="12"/>
        </w:numPr>
      </w:pPr>
      <w:r>
        <w:t>zajištění prací na mostech,</w:t>
      </w:r>
    </w:p>
    <w:p w14:paraId="4FDA015D" w14:textId="77777777" w:rsidR="00F4340D" w:rsidRDefault="00F4340D" w:rsidP="00B459BA">
      <w:pPr>
        <w:pStyle w:val="KUJKnormal"/>
        <w:numPr>
          <w:ilvl w:val="0"/>
          <w:numId w:val="12"/>
        </w:numPr>
      </w:pPr>
      <w:r>
        <w:t>zajištění prací na ostatních silničních objektech,</w:t>
      </w:r>
    </w:p>
    <w:p w14:paraId="79733CF3" w14:textId="77777777" w:rsidR="00F4340D" w:rsidRDefault="00F4340D" w:rsidP="00B459BA">
      <w:pPr>
        <w:pStyle w:val="KUJKnormal"/>
        <w:numPr>
          <w:ilvl w:val="0"/>
          <w:numId w:val="12"/>
        </w:numPr>
      </w:pPr>
      <w:r>
        <w:t>zajištění prací v oblasti sadovnictví,</w:t>
      </w:r>
    </w:p>
    <w:p w14:paraId="54F63342" w14:textId="77777777" w:rsidR="00F4340D" w:rsidRDefault="00F4340D" w:rsidP="00B459BA">
      <w:pPr>
        <w:pStyle w:val="KUJKnormal"/>
        <w:numPr>
          <w:ilvl w:val="0"/>
          <w:numId w:val="12"/>
        </w:numPr>
      </w:pPr>
      <w:r>
        <w:t>zajištění prací v oblasti správních činností,</w:t>
      </w:r>
    </w:p>
    <w:p w14:paraId="041943EC" w14:textId="77777777" w:rsidR="00F4340D" w:rsidRDefault="00F4340D" w:rsidP="00B459BA">
      <w:pPr>
        <w:pStyle w:val="KUJKnormal"/>
      </w:pPr>
      <w:r>
        <w:t xml:space="preserve">              vše v podrobném členění jednotlivých prací a činností uvedených v příloze č. 1 návrhu č. 138/ZK/25, </w:t>
      </w:r>
    </w:p>
    <w:p w14:paraId="584F5926" w14:textId="77777777" w:rsidR="00F4340D" w:rsidRDefault="00F4340D" w:rsidP="00B459BA">
      <w:pPr>
        <w:pStyle w:val="KUJKnormal"/>
        <w:numPr>
          <w:ilvl w:val="0"/>
          <w:numId w:val="11"/>
        </w:numPr>
      </w:pPr>
      <w:r>
        <w:t>kompenzační mechanizmus prostřednictvím ukazatelů pro výpočet, kontrolu a hodnocení plateb jako sborník nákladů údržbových prací uvedený v příloze č. 2 návrhu č. 138/ZK/25,</w:t>
      </w:r>
    </w:p>
    <w:p w14:paraId="771BEB48" w14:textId="77777777" w:rsidR="00F4340D" w:rsidRDefault="00F4340D" w:rsidP="00B459BA">
      <w:pPr>
        <w:pStyle w:val="KUJKnormal"/>
        <w:numPr>
          <w:ilvl w:val="0"/>
          <w:numId w:val="11"/>
        </w:numPr>
      </w:pPr>
      <w:r>
        <w:t>opatření k zamezení, resp. vrácení nadměrné vyrovnávací platby uvedené v příloze č. 3 návrhu č. 138/ZK/25.</w:t>
      </w:r>
    </w:p>
    <w:p w14:paraId="051E1941" w14:textId="77777777" w:rsidR="00F4340D" w:rsidRDefault="00F4340D" w:rsidP="00C53FF5">
      <w:pPr>
        <w:pStyle w:val="KUJKnormal"/>
      </w:pPr>
    </w:p>
    <w:p w14:paraId="6EBB7BE5" w14:textId="77777777" w:rsidR="00F4340D" w:rsidRDefault="00F4340D" w:rsidP="00B459BA">
      <w:pPr>
        <w:pStyle w:val="KUJKmezeraDZ"/>
      </w:pPr>
      <w:bookmarkStart w:id="1" w:name="US_DuvodZprava"/>
      <w:bookmarkEnd w:id="1"/>
    </w:p>
    <w:p w14:paraId="298D039E" w14:textId="77777777" w:rsidR="00F4340D" w:rsidRDefault="00F4340D" w:rsidP="00B459BA">
      <w:pPr>
        <w:pStyle w:val="KUJKnadpisDZ"/>
      </w:pPr>
      <w:r>
        <w:t>DŮVODOVÁ ZPRÁVA</w:t>
      </w:r>
    </w:p>
    <w:p w14:paraId="21D08EF4" w14:textId="77777777" w:rsidR="00F4340D" w:rsidRPr="009B7B0B" w:rsidRDefault="00F4340D" w:rsidP="00B459BA">
      <w:pPr>
        <w:pStyle w:val="KUJKmezeraDZ"/>
      </w:pPr>
    </w:p>
    <w:p w14:paraId="5908F637" w14:textId="77777777" w:rsidR="00F4340D" w:rsidRDefault="00F4340D" w:rsidP="00DC04AE">
      <w:pPr>
        <w:pStyle w:val="KUJKnormal"/>
      </w:pPr>
      <w:r>
        <w:t xml:space="preserve">Zastupitelstvo kraje rozhoduje v souladu s § 35 zákona č. 129/2000 Sb., o krajích, ve znění pozdějších předpisů, ve věcech patřících do samostatné působnosti kraje. Mezi tyto kompetence patří i rozhodnutí o pověřovacím aktu k plnění služeb obecného hospodářského zájmu. </w:t>
      </w:r>
    </w:p>
    <w:p w14:paraId="47DA7213" w14:textId="77777777" w:rsidR="00F4340D" w:rsidRDefault="00F4340D" w:rsidP="00DC04AE">
      <w:pPr>
        <w:pStyle w:val="KUJKnormal"/>
      </w:pPr>
    </w:p>
    <w:p w14:paraId="2257116E" w14:textId="77777777" w:rsidR="00F4340D" w:rsidRDefault="00F4340D" w:rsidP="00DC04AE">
      <w:pPr>
        <w:pStyle w:val="KUJKnormal"/>
      </w:pPr>
      <w:r>
        <w:t xml:space="preserve">Jihočeský kraj poskytuje v současné době ze svého rozpočtu neinvestiční a investiční příspěvek na úhradu nákladů spojených s majetkovou správou souboru majetku souvisejícího se silnicemi II. a III. třídy (tedy majetku kraje) na území Jihočeského kraje. Tato finanční podpora příspěvkové organizaci Správa a údržba silnic Jihočeského kraje byla v předchozích letech poskytována z rozpočtu Jihočeského kraje v souladu s přijatými usneseními Zastupitelstva Jihočeského kraje č. 431/2007/ZK30 ze dne 11. 12. 2007, č. 359/2013/ZK-8 ze dne 5. 12. 2013 a č. 53/2016/ZK-2 ze dne 15. 12. 2016. </w:t>
      </w:r>
    </w:p>
    <w:p w14:paraId="01446A3A" w14:textId="77777777" w:rsidR="00F4340D" w:rsidRDefault="00F4340D" w:rsidP="00DC04AE">
      <w:pPr>
        <w:pStyle w:val="KUJKnormal"/>
      </w:pPr>
    </w:p>
    <w:p w14:paraId="38ABEE90" w14:textId="77777777" w:rsidR="00F4340D" w:rsidRDefault="00F4340D" w:rsidP="00DC04AE">
      <w:pPr>
        <w:pStyle w:val="KUJKnormal"/>
      </w:pPr>
      <w:r>
        <w:t>Problematika veřejné podpory je součástí primárního práva Evropské unie. Veřejná podpora je upravena v ustanovení článků 107 – 109 Smluv formou konkretizace práv a povinností členských států v oblasti veřejné podpory. Dále je úprava veřejné podpory rozvinuta sekundárním právem EU, rozhodovací praxí Evropské komise a Soudního dvora EU (sekundární právo).</w:t>
      </w:r>
    </w:p>
    <w:p w14:paraId="36EBECB2" w14:textId="77777777" w:rsidR="00F4340D" w:rsidRDefault="00F4340D" w:rsidP="00DC04AE">
      <w:pPr>
        <w:pStyle w:val="KUJKnormal"/>
      </w:pPr>
      <w:r>
        <w:t>Podstata a smysl regulace veřejné podpory spočívá v tom, že hospodářská politika EU je založena na volné soutěži. Ve Smlouvě o založení Evropského společenství (ES) je předpokládáno vytvoření systému zajišťujícího, aby na vnitřním trhu EU nebyla narušována hospodářská soutěž. Z tohoto důvodu je již ve zmíněné smlouvě zakotven mechanismus omezující členské státy v libovolném poskytování veřejné podpory. Veřejná podpora je každá podpora poskytnutá v jakékoli formě státem nebo ze státních prostředků (resp. z jakýchkoli veřejných zdrojů), která narušuje nebo může narušit hospodářskou soutěž tím, že zvýhodňuje určité podniky nebo určitá odvětví výroby a pokud ovlivňuje obchod mezi členskými státy. Veřejná podpora je obecně zakázána. Za veřejnou podporu není považována kompenzace nákladů vzniklých v souvislosti s plněním závazku veřejné služby (SGEI), tedy služeb, které by bez kompenzace nikdo nezajišťoval, a to za podmínek</w:t>
      </w:r>
    </w:p>
    <w:p w14:paraId="13E43A90" w14:textId="77777777" w:rsidR="00F4340D" w:rsidRDefault="00F4340D" w:rsidP="00DC04AE">
      <w:pPr>
        <w:pStyle w:val="KUJKnormal"/>
        <w:numPr>
          <w:ilvl w:val="0"/>
          <w:numId w:val="13"/>
        </w:numPr>
      </w:pPr>
      <w:r>
        <w:t xml:space="preserve">subjekt, který je pověřen plněním závazku, je definován právním aktem (zákon, smlouva, rozhodnutí kolektivního orgánu atd.), </w:t>
      </w:r>
    </w:p>
    <w:p w14:paraId="35A76E3F" w14:textId="77777777" w:rsidR="00F4340D" w:rsidRDefault="00F4340D" w:rsidP="00DC04AE">
      <w:pPr>
        <w:pStyle w:val="KUJKnormal"/>
        <w:numPr>
          <w:ilvl w:val="0"/>
          <w:numId w:val="13"/>
        </w:numPr>
      </w:pPr>
      <w:r>
        <w:t>je kompenzována nezbytná výše nákladů spojená s poskytování veřejné služby a přiměřená výše zisku za jejich provádění,</w:t>
      </w:r>
    </w:p>
    <w:p w14:paraId="733D28BF" w14:textId="77777777" w:rsidR="00F4340D" w:rsidRDefault="00F4340D" w:rsidP="00DC04AE">
      <w:pPr>
        <w:pStyle w:val="KUJKnormal"/>
        <w:numPr>
          <w:ilvl w:val="0"/>
          <w:numId w:val="13"/>
        </w:numPr>
      </w:pPr>
      <w:r>
        <w:t>parametry výpočtu kompenzace jsou předem jednoznačně a objektivně stanoveny,</w:t>
      </w:r>
    </w:p>
    <w:p w14:paraId="0C511AA1" w14:textId="77777777" w:rsidR="00F4340D" w:rsidRDefault="00F4340D" w:rsidP="00DC04AE">
      <w:pPr>
        <w:pStyle w:val="KUJKnormal"/>
        <w:numPr>
          <w:ilvl w:val="0"/>
          <w:numId w:val="13"/>
        </w:numPr>
      </w:pPr>
      <w:r>
        <w:t>subjekt je vybrán na základě výběrového řízení, pokud nikoli, je nutné, aby kompenzace odpovídala výši nákladů, kterou by za službu požadoval komerčně fungující podnik,</w:t>
      </w:r>
    </w:p>
    <w:p w14:paraId="1E77540E" w14:textId="77777777" w:rsidR="00F4340D" w:rsidRDefault="00F4340D" w:rsidP="00DC04AE">
      <w:pPr>
        <w:pStyle w:val="KUJKnormal"/>
        <w:numPr>
          <w:ilvl w:val="0"/>
          <w:numId w:val="13"/>
        </w:numPr>
      </w:pPr>
      <w:r>
        <w:t>subjekt vede analytické účetnictví.</w:t>
      </w:r>
    </w:p>
    <w:p w14:paraId="62E04E16" w14:textId="77777777" w:rsidR="00F4340D" w:rsidRDefault="00F4340D" w:rsidP="00DC04AE">
      <w:pPr>
        <w:pStyle w:val="KUJKnormal"/>
      </w:pPr>
    </w:p>
    <w:p w14:paraId="52209A40" w14:textId="77777777" w:rsidR="00F4340D" w:rsidRDefault="00F4340D" w:rsidP="00DC04AE">
      <w:pPr>
        <w:pStyle w:val="KUJKnormal"/>
      </w:pPr>
      <w:r>
        <w:t>SGEI (Services of General Economic Interest) jsou hospodářské činnosti, které by bez veřejného zájmu nebyly poskytovány nebo by byly poskytovány za méně příznivých podmínek. Opodstatněnost finanční podpory SGEI ze strany veřejných subjektů vychází z tržního selhání v oblasti nabídky těchto služeb. Výkonem služeb obecného hospodářského zájmu je subjekt pověřen; pověření obsahuje podmínky provozování služby (povaha závazku, jeho náplň a doba trvání, kompenzační mechanismus, podmínky provozování služby atd.).</w:t>
      </w:r>
    </w:p>
    <w:p w14:paraId="47CA778B" w14:textId="77777777" w:rsidR="00F4340D" w:rsidRDefault="00F4340D" w:rsidP="00DC04AE">
      <w:pPr>
        <w:pStyle w:val="KUJKnormal"/>
      </w:pPr>
    </w:p>
    <w:p w14:paraId="3D58F7B9" w14:textId="77777777" w:rsidR="00F4340D" w:rsidRDefault="00F4340D" w:rsidP="00DC04AE">
      <w:pPr>
        <w:pStyle w:val="KUJKnormal"/>
      </w:pPr>
      <w:r>
        <w:t xml:space="preserve">V případě poskytování finančních prostředků Správě a údržbě silnic Jihočeského kraje na zajištění správy a údržby silnic II. a III. třídy z rozpočtu Jihočeského kraje se jeví jako nejvhodnější stanovit v souladu s příslušnými právními předpisy a Smlouvou o založení Evropského společenství tuto činnost službami veřejného hospodářského zájmu ve formě vyrovnávací platby za závazek veřejné služby udělené určitým podnikům pověřeným poskytováním služeb obecného hospodářského zájmu. </w:t>
      </w:r>
    </w:p>
    <w:p w14:paraId="19244116" w14:textId="77777777" w:rsidR="00F4340D" w:rsidRDefault="00F4340D" w:rsidP="00DC04AE">
      <w:pPr>
        <w:pStyle w:val="KUJKnormal"/>
      </w:pPr>
    </w:p>
    <w:p w14:paraId="1EE1AA68" w14:textId="77777777" w:rsidR="00F4340D" w:rsidRDefault="00F4340D" w:rsidP="00DC04AE">
      <w:pPr>
        <w:pStyle w:val="KUJKnormal"/>
      </w:pPr>
      <w:r>
        <w:t>Rozsudek ve věci Altmark Trans GmbH a Regierungspräsidium Magdeburg upravuje kritéria, při jejichž splnění příspěvky nejsou státní podporou ve smyslu čl. 107 Smlouvy. Soudní dvůr v této věci stanovil potřebu zajištění splnění následujících čtyřech kritérií:</w:t>
      </w:r>
    </w:p>
    <w:p w14:paraId="52532136" w14:textId="77777777" w:rsidR="00F4340D" w:rsidRDefault="00F4340D" w:rsidP="00DC04AE">
      <w:pPr>
        <w:pStyle w:val="KUJKnormal"/>
      </w:pPr>
    </w:p>
    <w:p w14:paraId="5A2DEEC1" w14:textId="77777777" w:rsidR="00F4340D" w:rsidRDefault="00F4340D" w:rsidP="00DC04AE">
      <w:pPr>
        <w:pStyle w:val="KUJKnormal"/>
      </w:pPr>
      <w:r>
        <w:t>Podnik, který je příjemcem vyrovnávací platby, musí být skutečně pověřen závazky veřejné služby a tyto závazky musí být jasně vymezeny:</w:t>
      </w:r>
    </w:p>
    <w:p w14:paraId="2F2D4FA9" w14:textId="77777777" w:rsidR="00F4340D" w:rsidRDefault="00F4340D" w:rsidP="00DC04AE">
      <w:pPr>
        <w:pStyle w:val="KUJKnormal"/>
        <w:numPr>
          <w:ilvl w:val="0"/>
          <w:numId w:val="14"/>
        </w:numPr>
      </w:pPr>
      <w:r>
        <w:t xml:space="preserve">ukazatele pro výpočet vyrovnávací platby musí být stanoveny objektivním a transparentním způsobem, </w:t>
      </w:r>
    </w:p>
    <w:p w14:paraId="7855CF4C" w14:textId="77777777" w:rsidR="00F4340D" w:rsidRDefault="00F4340D" w:rsidP="00DC04AE">
      <w:pPr>
        <w:pStyle w:val="KUJKnormal"/>
        <w:numPr>
          <w:ilvl w:val="0"/>
          <w:numId w:val="14"/>
        </w:numPr>
      </w:pPr>
      <w:r>
        <w:t>výše vyrovnávací platby je omezena rozsahem nezbytným k pokrytí veškerých nákladů vynaložených při plnění závazků veřejné služby nebo jejich části, přičemž je třeba zohlednit příslušné příjmy a přiměřený zisk (viz. předchozí bod),</w:t>
      </w:r>
    </w:p>
    <w:p w14:paraId="0EFE8CB3" w14:textId="77777777" w:rsidR="00F4340D" w:rsidRDefault="00F4340D" w:rsidP="00DC04AE">
      <w:pPr>
        <w:pStyle w:val="KUJKnormal"/>
        <w:numPr>
          <w:ilvl w:val="0"/>
          <w:numId w:val="14"/>
        </w:numPr>
      </w:pPr>
      <w:r>
        <w:t>pokud nebyl podnik pověřený plněním závazků veřejné služby v určitém případě vybrán prostřednictvím procesu zadávání veřejných zakázek, který by umožnil vybrat uchazeče schopného poskytovat předmětné služby s nejnižšími náklady na Společenství, musí být výše vyrovnávací platby určena na základě analýzy nákladů, který by běžný, řádně řízený podnik disponující odpovídajícími prostředky vynaložil na plnění těchto závazků.</w:t>
      </w:r>
    </w:p>
    <w:p w14:paraId="56686CB1" w14:textId="77777777" w:rsidR="00F4340D" w:rsidRDefault="00F4340D" w:rsidP="00DC04AE">
      <w:pPr>
        <w:pStyle w:val="KUJKnormal"/>
      </w:pPr>
      <w:r>
        <w:t xml:space="preserve">Sborník nákladů údržbových prací schválený Ministerstvem dopravy České republiky obsahující průměrné ceny jednotlivých činností podniků obdobného charakteru (zejména správy a údržby silnic a správy silnic a údržby dálnic) na území České republiky upravený k roku 2021 </w:t>
      </w:r>
      <w:r w:rsidRPr="00356DF7">
        <w:t xml:space="preserve">(příloha č. 2 návrhu č. 503/RK/25), navýšený </w:t>
      </w:r>
      <w:r>
        <w:t>o ČSÚ zveřejněnou roční míru inflace lze považovat za analýzu nákladů, které by běžný, řádně řízený podnik disponující odpovídajícími prostředky vynaložil na plnění těchto závazků.  Sborník bude využíván tak, že vyrovnávací platby poskytnuté krajem nesmí v jednotlivých letech trvání závazku překročit uvedenou jednotkovou cenu. Náklady v jednotlivých letech a jednotlivých nákladových položkách budou upravované dle míry inflace vyhlášené ČSÚ. Objem vykázaných jednotek musí odpovídat provoznímu plánu organizace. Takto bude řešeno každoročně prokazování a úhrada tzv. vyrovnávací platby. Opatření k zamezení, resp. vrácení nadměrné vyrovnávací platby jsou uvedena v příloze č. 3 návrhu č. 503/RK/25.</w:t>
      </w:r>
    </w:p>
    <w:p w14:paraId="7F1EAEF1" w14:textId="77777777" w:rsidR="00F4340D" w:rsidRDefault="00F4340D" w:rsidP="00DC04AE">
      <w:pPr>
        <w:pStyle w:val="KUJKnormal"/>
      </w:pPr>
    </w:p>
    <w:p w14:paraId="572A624A" w14:textId="77777777" w:rsidR="00F4340D" w:rsidRDefault="00F4340D" w:rsidP="00DC04AE">
      <w:pPr>
        <w:pStyle w:val="KUJKnormal"/>
      </w:pPr>
      <w:r>
        <w:t>Délka trvání tohoto závazku je v příslušné části usnesení navržena na 8 let do 31. 12. 2032, tedy stejně jako v předchozím období.</w:t>
      </w:r>
    </w:p>
    <w:p w14:paraId="10098BC6" w14:textId="77777777" w:rsidR="00F4340D" w:rsidRDefault="00F4340D" w:rsidP="00DC04AE">
      <w:pPr>
        <w:pStyle w:val="KUJKnormal"/>
      </w:pPr>
    </w:p>
    <w:p w14:paraId="5943EB11" w14:textId="77777777" w:rsidR="00F4340D" w:rsidRDefault="00F4340D" w:rsidP="00DC04AE">
      <w:pPr>
        <w:pStyle w:val="KUJKnormal"/>
      </w:pPr>
      <w:r>
        <w:t>Rada kraje doporučila zastupitelstvu na svém jednání dne 3. 4. 2025 schválit usnesení v navrženém znění.</w:t>
      </w:r>
    </w:p>
    <w:p w14:paraId="1D9DD799" w14:textId="77777777" w:rsidR="00F4340D" w:rsidRDefault="00F4340D" w:rsidP="00DC04AE">
      <w:pPr>
        <w:pStyle w:val="KUJKnormal"/>
      </w:pPr>
    </w:p>
    <w:p w14:paraId="4B64DC0D" w14:textId="77777777" w:rsidR="00F4340D" w:rsidRDefault="00F4340D" w:rsidP="00DC04AE">
      <w:pPr>
        <w:pStyle w:val="KUJKnormal"/>
      </w:pPr>
      <w:r>
        <w:t xml:space="preserve">Finanční nároky a krytí: prostřednictvím každoročního poskytnutí dotace z rozpočtu Jihočeského kraje </w:t>
      </w:r>
    </w:p>
    <w:p w14:paraId="775AC5E5" w14:textId="77777777" w:rsidR="00F4340D" w:rsidRDefault="00F4340D" w:rsidP="00DC04AE">
      <w:pPr>
        <w:pStyle w:val="KUJKnormal"/>
      </w:pPr>
    </w:p>
    <w:p w14:paraId="7066E6F6" w14:textId="77777777" w:rsidR="00F4340D" w:rsidRDefault="00F4340D" w:rsidP="00DC04AE">
      <w:pPr>
        <w:pStyle w:val="KUJKnormal"/>
      </w:pPr>
      <w:r>
        <w:t>Vyjádření správce rozpočtu: nevyžádáno</w:t>
      </w:r>
    </w:p>
    <w:p w14:paraId="36B7667A" w14:textId="77777777" w:rsidR="00F4340D" w:rsidRDefault="00F4340D" w:rsidP="00DC04AE">
      <w:pPr>
        <w:pStyle w:val="KUJKnormal"/>
      </w:pPr>
    </w:p>
    <w:p w14:paraId="34E31A95" w14:textId="77777777" w:rsidR="00F4340D" w:rsidRPr="00A521E1" w:rsidRDefault="00F4340D" w:rsidP="00C27671">
      <w:pPr>
        <w:pStyle w:val="KUJKnormal"/>
      </w:pPr>
      <w:r>
        <w:t>Návrh projednán (stanoviska): Mgr. Markéta Procházková (OPZU):</w:t>
      </w:r>
      <w:r w:rsidRPr="00A521E1">
        <w:t xml:space="preserve"> </w:t>
      </w:r>
      <w:r>
        <w:t xml:space="preserve">Souhlasím. </w:t>
      </w:r>
    </w:p>
    <w:p w14:paraId="077F8BD1" w14:textId="77777777" w:rsidR="00F4340D" w:rsidRDefault="00F4340D" w:rsidP="00DC04AE">
      <w:pPr>
        <w:pStyle w:val="KUJKnormal"/>
      </w:pPr>
    </w:p>
    <w:p w14:paraId="4323818E" w14:textId="77777777" w:rsidR="00F4340D" w:rsidRDefault="00F4340D" w:rsidP="00DC04AE">
      <w:pPr>
        <w:pStyle w:val="KUJKnormal"/>
      </w:pPr>
    </w:p>
    <w:p w14:paraId="442DFA01" w14:textId="77777777" w:rsidR="00F4340D" w:rsidRDefault="00F4340D" w:rsidP="00DC04AE">
      <w:pPr>
        <w:pStyle w:val="KUJKnormal"/>
      </w:pPr>
    </w:p>
    <w:p w14:paraId="32DCD4E7" w14:textId="77777777" w:rsidR="00F4340D" w:rsidRDefault="00F4340D" w:rsidP="00DC04AE">
      <w:pPr>
        <w:pStyle w:val="KUJKnormal"/>
        <w:rPr>
          <w:b/>
        </w:rPr>
      </w:pPr>
      <w:r>
        <w:rPr>
          <w:b/>
        </w:rPr>
        <w:t>PŘÍLOHY:</w:t>
      </w:r>
    </w:p>
    <w:p w14:paraId="5CE061E8" w14:textId="77777777" w:rsidR="00F4340D" w:rsidRDefault="00F4340D" w:rsidP="00DC04AE">
      <w:pPr>
        <w:pStyle w:val="KUJKnormal"/>
      </w:pPr>
      <w:r>
        <w:t>1.</w:t>
      </w:r>
      <w:r>
        <w:tab/>
        <w:t xml:space="preserve">Rozsah ZVS SÚS JK </w:t>
      </w:r>
    </w:p>
    <w:p w14:paraId="2718DFC5" w14:textId="77777777" w:rsidR="00F4340D" w:rsidRDefault="00F4340D" w:rsidP="00DC04AE">
      <w:pPr>
        <w:pStyle w:val="KUJKnormal"/>
      </w:pPr>
      <w:r>
        <w:t>2.</w:t>
      </w:r>
      <w:r>
        <w:tab/>
        <w:t>Sborník nákladů ÚP SÚS JK 2021 – pouze v elektronické podobě</w:t>
      </w:r>
    </w:p>
    <w:p w14:paraId="004D3DEB" w14:textId="77777777" w:rsidR="00F4340D" w:rsidRDefault="00F4340D" w:rsidP="00DC04AE">
      <w:pPr>
        <w:pStyle w:val="KUJKnormal"/>
      </w:pPr>
      <w:r>
        <w:t>3.</w:t>
      </w:r>
      <w:r>
        <w:tab/>
        <w:t xml:space="preserve">Opatření k zamezení nadměrné vyrovnávací platby SÚS JK </w:t>
      </w:r>
    </w:p>
    <w:p w14:paraId="2E4D2070" w14:textId="77777777" w:rsidR="00F4340D" w:rsidRDefault="00F4340D" w:rsidP="00DC04AE">
      <w:pPr>
        <w:pStyle w:val="KUJKnormal"/>
      </w:pPr>
    </w:p>
    <w:p w14:paraId="5FE227C7" w14:textId="77777777" w:rsidR="00F4340D" w:rsidRDefault="00F4340D" w:rsidP="00DC04AE">
      <w:pPr>
        <w:pStyle w:val="KUJKtucny"/>
      </w:pPr>
      <w:r>
        <w:t>Zodpovídá:</w:t>
      </w:r>
    </w:p>
    <w:p w14:paraId="021CE346" w14:textId="77777777" w:rsidR="00F4340D" w:rsidRDefault="00F4340D" w:rsidP="00DC04AE">
      <w:pPr>
        <w:pStyle w:val="KUJKnormal"/>
      </w:pPr>
    </w:p>
    <w:p w14:paraId="2947B013" w14:textId="77777777" w:rsidR="00F4340D" w:rsidRDefault="00F4340D" w:rsidP="00DC04AE">
      <w:pPr>
        <w:pStyle w:val="KUJKnormal"/>
      </w:pPr>
      <w:r>
        <w:t>Termín kontroly: 1. 11. 2032</w:t>
      </w:r>
    </w:p>
    <w:p w14:paraId="3E3A92DC" w14:textId="77777777" w:rsidR="00F4340D" w:rsidRDefault="00F4340D" w:rsidP="00DC04AE">
      <w:pPr>
        <w:pStyle w:val="KUJKnormal"/>
      </w:pPr>
      <w:r>
        <w:t>Termín splnění: 31. 12. 2032</w:t>
      </w:r>
    </w:p>
    <w:p w14:paraId="6820D71D" w14:textId="77777777" w:rsidR="00F4340D" w:rsidRDefault="00F4340D" w:rsidP="00DC04AE"/>
    <w:p w14:paraId="4EE96188" w14:textId="77777777" w:rsidR="00F4340D" w:rsidRDefault="00F4340D" w:rsidP="00C53FF5">
      <w:pPr>
        <w:pStyle w:val="KUJKnormal"/>
      </w:pP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1670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1670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9048" w14:textId="77777777" w:rsidR="00F4340D" w:rsidRDefault="00F4340D" w:rsidP="00F4340D">
    <w:r>
      <w:rPr>
        <w:noProof/>
      </w:rPr>
      <w:pict w14:anchorId="1AA8C03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57C99B6" w14:textId="77777777" w:rsidR="00F4340D" w:rsidRPr="00D405BE" w:rsidRDefault="00F4340D" w:rsidP="00F4340D">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08219AE3" w14:textId="77777777" w:rsidR="00F4340D" w:rsidRPr="00D405BE" w:rsidRDefault="00F4340D" w:rsidP="00F4340D">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66F1B30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16D344F">
        <v:rect id="_x0000_i1026" style="width:481.9pt;height:2pt" o:hralign="center" o:hrstd="t" o:hrnoshade="t" o:hr="t" fillcolor="black" stroked="f"/>
      </w:pict>
    </w:r>
  </w:p>
  <w:p w14:paraId="076BCDBA" w14:textId="77777777" w:rsidR="00F4340D" w:rsidRPr="00F4340D" w:rsidRDefault="00F4340D" w:rsidP="00F434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AC6B14"/>
    <w:multiLevelType w:val="hybridMultilevel"/>
    <w:tmpl w:val="3B28CD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370AEA"/>
    <w:multiLevelType w:val="hybridMultilevel"/>
    <w:tmpl w:val="73DE6D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21212B"/>
    <w:multiLevelType w:val="hybridMultilevel"/>
    <w:tmpl w:val="8FF649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FC49B9"/>
    <w:multiLevelType w:val="hybridMultilevel"/>
    <w:tmpl w:val="E20A32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81877875">
    <w:abstractNumId w:val="3"/>
  </w:num>
  <w:num w:numId="2" w16cid:durableId="1786733671">
    <w:abstractNumId w:val="4"/>
  </w:num>
  <w:num w:numId="3" w16cid:durableId="1454440900">
    <w:abstractNumId w:val="12"/>
  </w:num>
  <w:num w:numId="4" w16cid:durableId="537623535">
    <w:abstractNumId w:val="10"/>
  </w:num>
  <w:num w:numId="5" w16cid:durableId="1062561235">
    <w:abstractNumId w:val="0"/>
  </w:num>
  <w:num w:numId="6" w16cid:durableId="884828286">
    <w:abstractNumId w:val="5"/>
  </w:num>
  <w:num w:numId="7" w16cid:durableId="1986659466">
    <w:abstractNumId w:val="9"/>
  </w:num>
  <w:num w:numId="8" w16cid:durableId="1146972910">
    <w:abstractNumId w:val="6"/>
  </w:num>
  <w:num w:numId="9" w16cid:durableId="1317371545">
    <w:abstractNumId w:val="7"/>
  </w:num>
  <w:num w:numId="10" w16cid:durableId="374937236">
    <w:abstractNumId w:val="11"/>
  </w:num>
  <w:num w:numId="11" w16cid:durableId="2113933850">
    <w:abstractNumId w:val="2"/>
  </w:num>
  <w:num w:numId="12" w16cid:durableId="1301686151">
    <w:abstractNumId w:val="1"/>
  </w:num>
  <w:num w:numId="13" w16cid:durableId="288056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477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4F"/>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5493"/>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36C"/>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40D"/>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6880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2025-04-11T11:22:00Z</dcterms:created>
  <dcterms:modified xsi:type="dcterms:W3CDTF">2025-04-11T11:22:00Z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6792001</vt:i4>
  </property>
  <property fmtid="{D5CDD505-2E9C-101B-9397-08002B2CF9AE}" pid="5" name="UlozitJako">
    <vt:lpwstr>C:\Users\mrazkova\AppData\Local\Temp\iU17860052\Zastupitelstvo\2025-04-10\Navrhy\138-ZK-25.</vt:lpwstr>
  </property>
  <property fmtid="{D5CDD505-2E9C-101B-9397-08002B2CF9AE}" pid="6" name="Zpracovat">
    <vt:bool>false</vt:bool>
  </property>
</Properties>
</file>