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636FB" w14:paraId="320DF693" w14:textId="77777777" w:rsidTr="00500C64">
        <w:trPr>
          <w:trHeight w:hRule="exact" w:val="397"/>
        </w:trPr>
        <w:tc>
          <w:tcPr>
            <w:tcW w:w="2376" w:type="dxa"/>
            <w:hideMark/>
          </w:tcPr>
          <w:p w14:paraId="5821AAC2" w14:textId="77777777" w:rsidR="009636FB" w:rsidRDefault="009636F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A0BE5A" w14:textId="77777777" w:rsidR="009636FB" w:rsidRDefault="009636FB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17B34F6D" w14:textId="77777777" w:rsidR="009636FB" w:rsidRDefault="009636FB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11</w:t>
            </w:r>
          </w:p>
        </w:tc>
        <w:tc>
          <w:tcPr>
            <w:tcW w:w="850" w:type="dxa"/>
          </w:tcPr>
          <w:p w14:paraId="54FABC13" w14:textId="77777777" w:rsidR="009636FB" w:rsidRDefault="009636FB" w:rsidP="00970720">
            <w:pPr>
              <w:pStyle w:val="KUJKnormal"/>
            </w:pPr>
          </w:p>
        </w:tc>
      </w:tr>
      <w:tr w:rsidR="009636FB" w14:paraId="36937F36" w14:textId="77777777" w:rsidTr="00500C64">
        <w:trPr>
          <w:cantSplit/>
          <w:trHeight w:hRule="exact" w:val="397"/>
        </w:trPr>
        <w:tc>
          <w:tcPr>
            <w:tcW w:w="2376" w:type="dxa"/>
            <w:hideMark/>
          </w:tcPr>
          <w:p w14:paraId="5CB93ECA" w14:textId="77777777" w:rsidR="009636FB" w:rsidRDefault="009636F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AABFF9" w14:textId="77777777" w:rsidR="009636FB" w:rsidRDefault="009636FB" w:rsidP="00970720">
            <w:pPr>
              <w:pStyle w:val="KUJKnormal"/>
            </w:pPr>
            <w:r>
              <w:t>101/ZK/25</w:t>
            </w:r>
          </w:p>
        </w:tc>
      </w:tr>
      <w:tr w:rsidR="009636FB" w14:paraId="6A4871F3" w14:textId="77777777" w:rsidTr="00500C64">
        <w:trPr>
          <w:trHeight w:val="397"/>
        </w:trPr>
        <w:tc>
          <w:tcPr>
            <w:tcW w:w="2376" w:type="dxa"/>
          </w:tcPr>
          <w:p w14:paraId="53840698" w14:textId="77777777" w:rsidR="009636FB" w:rsidRDefault="009636FB" w:rsidP="00970720"/>
          <w:p w14:paraId="0AFDD61B" w14:textId="77777777" w:rsidR="009636FB" w:rsidRDefault="009636F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0B77F7" w14:textId="77777777" w:rsidR="009636FB" w:rsidRDefault="009636FB" w:rsidP="00970720"/>
          <w:p w14:paraId="1E061460" w14:textId="77777777" w:rsidR="009636FB" w:rsidRDefault="009636F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„Podpora zajištění pohotovostních služeb v oboru zubní lékařství na území vybraných okresů Jihočeského kraje“</w:t>
            </w:r>
          </w:p>
        </w:tc>
      </w:tr>
    </w:tbl>
    <w:p w14:paraId="784877A0" w14:textId="77777777" w:rsidR="009636FB" w:rsidRDefault="009636FB" w:rsidP="00500C64">
      <w:pPr>
        <w:pStyle w:val="KUJKnormal"/>
        <w:rPr>
          <w:b/>
          <w:bCs/>
        </w:rPr>
      </w:pPr>
      <w:r>
        <w:rPr>
          <w:b/>
          <w:bCs/>
        </w:rPr>
        <w:pict w14:anchorId="1ABCCD6E">
          <v:rect id="_x0000_i1029" style="width:453.6pt;height:1.5pt" o:hralign="center" o:hrstd="t" o:hrnoshade="t" o:hr="t" fillcolor="black" stroked="f"/>
        </w:pict>
      </w:r>
    </w:p>
    <w:p w14:paraId="0F223B1A" w14:textId="77777777" w:rsidR="009636FB" w:rsidRDefault="009636FB" w:rsidP="00500C64">
      <w:pPr>
        <w:pStyle w:val="KUJKnormal"/>
      </w:pPr>
    </w:p>
    <w:p w14:paraId="2F41FF3B" w14:textId="77777777" w:rsidR="009636FB" w:rsidRDefault="009636FB" w:rsidP="00500C6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636FB" w14:paraId="590B2391" w14:textId="77777777" w:rsidTr="002559B8">
        <w:trPr>
          <w:trHeight w:val="397"/>
        </w:trPr>
        <w:tc>
          <w:tcPr>
            <w:tcW w:w="2350" w:type="dxa"/>
            <w:hideMark/>
          </w:tcPr>
          <w:p w14:paraId="11E94969" w14:textId="77777777" w:rsidR="009636FB" w:rsidRDefault="009636F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B205DB" w14:textId="77777777" w:rsidR="009636FB" w:rsidRDefault="009636FB" w:rsidP="002559B8">
            <w:pPr>
              <w:pStyle w:val="KUJKnormal"/>
            </w:pPr>
            <w:r>
              <w:t>MUDr. Martin Kuba</w:t>
            </w:r>
          </w:p>
          <w:p w14:paraId="71976BB0" w14:textId="77777777" w:rsidR="009636FB" w:rsidRDefault="009636FB" w:rsidP="002559B8"/>
        </w:tc>
      </w:tr>
      <w:tr w:rsidR="009636FB" w14:paraId="2B810F81" w14:textId="77777777" w:rsidTr="002559B8">
        <w:trPr>
          <w:trHeight w:val="397"/>
        </w:trPr>
        <w:tc>
          <w:tcPr>
            <w:tcW w:w="2350" w:type="dxa"/>
          </w:tcPr>
          <w:p w14:paraId="1B60496B" w14:textId="77777777" w:rsidR="009636FB" w:rsidRDefault="009636FB" w:rsidP="002559B8">
            <w:pPr>
              <w:pStyle w:val="KUJKtucny"/>
            </w:pPr>
            <w:r>
              <w:t>Zpracoval:</w:t>
            </w:r>
          </w:p>
          <w:p w14:paraId="57ED5C3F" w14:textId="77777777" w:rsidR="009636FB" w:rsidRDefault="009636FB" w:rsidP="002559B8"/>
        </w:tc>
        <w:tc>
          <w:tcPr>
            <w:tcW w:w="6862" w:type="dxa"/>
            <w:hideMark/>
          </w:tcPr>
          <w:p w14:paraId="47F8B693" w14:textId="77777777" w:rsidR="009636FB" w:rsidRDefault="009636FB" w:rsidP="002559B8">
            <w:pPr>
              <w:pStyle w:val="KUJKnormal"/>
            </w:pPr>
            <w:r>
              <w:t>OZDR</w:t>
            </w:r>
          </w:p>
        </w:tc>
      </w:tr>
      <w:tr w:rsidR="009636FB" w14:paraId="006D3164" w14:textId="77777777" w:rsidTr="002559B8">
        <w:trPr>
          <w:trHeight w:val="397"/>
        </w:trPr>
        <w:tc>
          <w:tcPr>
            <w:tcW w:w="2350" w:type="dxa"/>
          </w:tcPr>
          <w:p w14:paraId="113C8322" w14:textId="77777777" w:rsidR="009636FB" w:rsidRPr="009715F9" w:rsidRDefault="009636F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7F7CD4" w14:textId="77777777" w:rsidR="009636FB" w:rsidRDefault="009636FB" w:rsidP="002559B8"/>
        </w:tc>
        <w:tc>
          <w:tcPr>
            <w:tcW w:w="6862" w:type="dxa"/>
            <w:hideMark/>
          </w:tcPr>
          <w:p w14:paraId="0AE4A3D1" w14:textId="77777777" w:rsidR="009636FB" w:rsidRDefault="009636FB" w:rsidP="002559B8">
            <w:pPr>
              <w:pStyle w:val="KUJKnormal"/>
            </w:pPr>
            <w:r>
              <w:t>Mgr. Ivana Turková</w:t>
            </w:r>
          </w:p>
        </w:tc>
      </w:tr>
    </w:tbl>
    <w:p w14:paraId="780C8019" w14:textId="77777777" w:rsidR="009636FB" w:rsidRDefault="009636FB" w:rsidP="00500C64">
      <w:pPr>
        <w:pStyle w:val="KUJKnormal"/>
      </w:pPr>
    </w:p>
    <w:p w14:paraId="129B36D2" w14:textId="77777777" w:rsidR="009636FB" w:rsidRPr="0052161F" w:rsidRDefault="009636FB" w:rsidP="00500C64">
      <w:pPr>
        <w:pStyle w:val="KUJKtucny"/>
      </w:pPr>
      <w:r w:rsidRPr="0052161F">
        <w:t>NÁVRH USNESENÍ</w:t>
      </w:r>
    </w:p>
    <w:p w14:paraId="6792DF58" w14:textId="77777777" w:rsidR="009636FB" w:rsidRDefault="009636FB" w:rsidP="00500C6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8F10A2" w14:textId="77777777" w:rsidR="009636FB" w:rsidRPr="00841DFC" w:rsidRDefault="009636FB" w:rsidP="00500C64">
      <w:pPr>
        <w:pStyle w:val="KUJKPolozka"/>
      </w:pPr>
      <w:r w:rsidRPr="00841DFC">
        <w:t>Zastupitelstvo Jihočeského kraje</w:t>
      </w:r>
    </w:p>
    <w:p w14:paraId="737DCC46" w14:textId="77777777" w:rsidR="009636FB" w:rsidRPr="00E10FE7" w:rsidRDefault="009636FB" w:rsidP="00D66514">
      <w:pPr>
        <w:pStyle w:val="KUJKdoplnek2"/>
      </w:pPr>
      <w:r w:rsidRPr="00AF7BAE">
        <w:t>schvaluje</w:t>
      </w:r>
    </w:p>
    <w:p w14:paraId="3C1286D3" w14:textId="77777777" w:rsidR="009636FB" w:rsidRDefault="009636FB" w:rsidP="009636FB">
      <w:pPr>
        <w:pStyle w:val="KUJKPolozka"/>
        <w:numPr>
          <w:ilvl w:val="0"/>
          <w:numId w:val="11"/>
        </w:numPr>
        <w:tabs>
          <w:tab w:val="left" w:pos="708"/>
        </w:tabs>
        <w:ind w:left="284" w:hanging="284"/>
        <w:rPr>
          <w:b w:val="0"/>
          <w:bCs/>
          <w:sz w:val="20"/>
        </w:rPr>
      </w:pPr>
      <w:r>
        <w:rPr>
          <w:b w:val="0"/>
          <w:bCs/>
        </w:rPr>
        <w:t>1. dotační program Jihočeského kraje „Podpora zajištění pohotovostních služeb v oboru zubní lékařství na území vybraných okresů Jihočeského kraje“ s celkovou alokací pro rok 2025 ve výši 2 234 400 Kč,</w:t>
      </w:r>
    </w:p>
    <w:p w14:paraId="2DCB2DFC" w14:textId="77777777" w:rsidR="009636FB" w:rsidRDefault="009636FB" w:rsidP="00D66514">
      <w:pPr>
        <w:pStyle w:val="KUJKnormal"/>
      </w:pPr>
      <w:r>
        <w:t>2. vzor smlouvy o poskytnutí dotace dle přílohy návrhu č. 101/ZK/25;</w:t>
      </w:r>
    </w:p>
    <w:p w14:paraId="66AFF483" w14:textId="77777777" w:rsidR="009636FB" w:rsidRPr="009A517B" w:rsidRDefault="009636FB" w:rsidP="009636FB">
      <w:pPr>
        <w:pStyle w:val="KUJKdoplnek2"/>
        <w:numPr>
          <w:ilvl w:val="1"/>
          <w:numId w:val="12"/>
        </w:numPr>
      </w:pPr>
      <w:r w:rsidRPr="0005454E">
        <w:t>pověřuje</w:t>
      </w:r>
    </w:p>
    <w:p w14:paraId="074428E0" w14:textId="77777777" w:rsidR="009636FB" w:rsidRPr="00D66514" w:rsidRDefault="009636FB" w:rsidP="009636FB">
      <w:pPr>
        <w:pStyle w:val="KUJKPolozka"/>
        <w:numPr>
          <w:ilvl w:val="0"/>
          <w:numId w:val="12"/>
        </w:numPr>
        <w:rPr>
          <w:b w:val="0"/>
          <w:bCs/>
          <w:sz w:val="20"/>
        </w:rPr>
      </w:pPr>
      <w:r w:rsidRPr="00D66514">
        <w:rPr>
          <w:b w:val="0"/>
          <w:bCs/>
        </w:rPr>
        <w:t>radu kraje</w:t>
      </w:r>
    </w:p>
    <w:p w14:paraId="5CE0C056" w14:textId="77777777" w:rsidR="009636FB" w:rsidRPr="00D66514" w:rsidRDefault="009636FB" w:rsidP="009636FB">
      <w:pPr>
        <w:pStyle w:val="KUJKPolozka"/>
        <w:numPr>
          <w:ilvl w:val="0"/>
          <w:numId w:val="12"/>
        </w:numPr>
        <w:ind w:left="284" w:hanging="284"/>
        <w:rPr>
          <w:b w:val="0"/>
          <w:bCs/>
        </w:rPr>
      </w:pPr>
      <w:r w:rsidRPr="00D66514">
        <w:rPr>
          <w:b w:val="0"/>
          <w:bCs/>
        </w:rPr>
        <w:t>1. vyhlášením dotačního programu „Podpora zajištění pohotovostních služeb v oboru zubní lékařství na území vybraných okresů Jihočeského kraje“,</w:t>
      </w:r>
    </w:p>
    <w:p w14:paraId="353F8E77" w14:textId="77777777" w:rsidR="009636FB" w:rsidRPr="00D66514" w:rsidRDefault="009636FB" w:rsidP="009636FB">
      <w:pPr>
        <w:pStyle w:val="KUJKPolozka"/>
        <w:numPr>
          <w:ilvl w:val="0"/>
          <w:numId w:val="12"/>
        </w:numPr>
        <w:ind w:left="284" w:hanging="284"/>
        <w:rPr>
          <w:b w:val="0"/>
          <w:bCs/>
        </w:rPr>
      </w:pPr>
      <w:r w:rsidRPr="00D66514">
        <w:rPr>
          <w:b w:val="0"/>
          <w:bCs/>
        </w:rPr>
        <w:t>2. schvalováním pravidel dotačního programu,</w:t>
      </w:r>
    </w:p>
    <w:p w14:paraId="6249424C" w14:textId="77777777" w:rsidR="009636FB" w:rsidRDefault="009636FB" w:rsidP="00736AB4">
      <w:pPr>
        <w:pStyle w:val="KUJKnormal"/>
        <w:ind w:left="284" w:hanging="284"/>
      </w:pPr>
      <w:r>
        <w:rPr>
          <w:bCs/>
        </w:rPr>
        <w:t>3. rozhodováním o změnách pravidel nebo o ukončení příjmu žádostí do dotačního programu;</w:t>
      </w:r>
    </w:p>
    <w:p w14:paraId="2F8139FF" w14:textId="77777777" w:rsidR="009636FB" w:rsidRDefault="009636FB" w:rsidP="009636FB">
      <w:pPr>
        <w:pStyle w:val="KUJKdoplnek2"/>
        <w:numPr>
          <w:ilvl w:val="1"/>
          <w:numId w:val="13"/>
        </w:numPr>
      </w:pPr>
      <w:r w:rsidRPr="0021676C">
        <w:t>ukládá</w:t>
      </w:r>
    </w:p>
    <w:p w14:paraId="0B9AC40E" w14:textId="77777777" w:rsidR="009636FB" w:rsidRDefault="009636FB" w:rsidP="00D66514">
      <w:pPr>
        <w:pStyle w:val="KUJKnormal"/>
      </w:pPr>
      <w:r>
        <w:t>JUDr. Lukáši Glaserovi, LL.M., řediteli krajského úřadu, zajistit provedení potřebných úkonů vedoucích k realizaci části II. tohoto usnesení.</w:t>
      </w:r>
    </w:p>
    <w:p w14:paraId="4B600D73" w14:textId="77777777" w:rsidR="009636FB" w:rsidRDefault="009636FB" w:rsidP="00D66514">
      <w:pPr>
        <w:pStyle w:val="KUJKnormal"/>
      </w:pPr>
      <w:r>
        <w:t>T: 24. 4. 2025</w:t>
      </w:r>
    </w:p>
    <w:p w14:paraId="3EF0CFBE" w14:textId="77777777" w:rsidR="009636FB" w:rsidRDefault="009636FB" w:rsidP="00500C64">
      <w:pPr>
        <w:pStyle w:val="KUJKnormal"/>
      </w:pPr>
    </w:p>
    <w:p w14:paraId="375E7322" w14:textId="77777777" w:rsidR="009636FB" w:rsidRDefault="009636FB" w:rsidP="00500C64">
      <w:pPr>
        <w:pStyle w:val="KUJKnormal"/>
      </w:pPr>
    </w:p>
    <w:p w14:paraId="3D73A14A" w14:textId="77777777" w:rsidR="009636FB" w:rsidRDefault="009636FB" w:rsidP="00D66514">
      <w:pPr>
        <w:pStyle w:val="KUJKmezeraDZ"/>
      </w:pPr>
      <w:bookmarkStart w:id="1" w:name="US_DuvodZprava"/>
      <w:bookmarkEnd w:id="1"/>
    </w:p>
    <w:p w14:paraId="17FF67BB" w14:textId="77777777" w:rsidR="009636FB" w:rsidRDefault="009636FB" w:rsidP="00D66514">
      <w:pPr>
        <w:pStyle w:val="KUJKnadpisDZ"/>
      </w:pPr>
      <w:r>
        <w:t>DŮVODOVÁ ZPRÁVA</w:t>
      </w:r>
    </w:p>
    <w:p w14:paraId="3C3B2E3A" w14:textId="77777777" w:rsidR="009636FB" w:rsidRPr="009B7B0B" w:rsidRDefault="009636FB" w:rsidP="00D66514">
      <w:pPr>
        <w:pStyle w:val="KUJKmezeraDZ"/>
      </w:pPr>
    </w:p>
    <w:p w14:paraId="456930E0" w14:textId="77777777" w:rsidR="009636FB" w:rsidRPr="008102BE" w:rsidRDefault="009636FB" w:rsidP="003C47BA">
      <w:pPr>
        <w:pStyle w:val="KUJKnormal"/>
        <w:rPr>
          <w:sz w:val="20"/>
        </w:rPr>
      </w:pPr>
      <w:r w:rsidRPr="008102BE">
        <w:t>Materiál je předkládán v souladu s § 35 zákona č. 129/2000 Sb., o krajích (krajské zřízení), ve znění pozdějších předpisů.</w:t>
      </w:r>
    </w:p>
    <w:p w14:paraId="6F84D7FD" w14:textId="77777777" w:rsidR="009636FB" w:rsidRPr="008102BE" w:rsidRDefault="009636FB" w:rsidP="003C47BA">
      <w:pPr>
        <w:pStyle w:val="KUJKnormal"/>
        <w:rPr>
          <w:color w:val="FF0000"/>
        </w:rPr>
      </w:pPr>
    </w:p>
    <w:p w14:paraId="565F0436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Zákon č. 372/2011 Sb., o zdravotních službách a podmínkách jejich poskytování (zákon o zdravotních službách), ve znění pozdějších předpisů (dále také „zákon o ZS“) ukládá Jihočeskému kraji odpovědnost za organizaci a zajištění pohotovostních služeb mj. v oboru zubní lékařství. </w:t>
      </w:r>
    </w:p>
    <w:p w14:paraId="16317CD6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V souladu s touto odpovědností kraj zajistil prostřednictvím jednoho poskytovatele centrální zubní pohotovost pro okres České Budějovice ve všední dny a o sobotách, nedělích a svátcích. V ostatních okresech jsou zubní pohotovosti zajišťované v ordinacích jednotlivých zubních lékařů, a to pouze o sobotách, nedělích a svátcích. </w:t>
      </w:r>
    </w:p>
    <w:p w14:paraId="038EE2D5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</w:p>
    <w:p w14:paraId="1BA0A4A0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Zubní pohotovostní služba je zdravotní službou, jejíž výkony jsou hrazeny z veřejného zdravotního pojištění, přesto mohou při jejím zajištění vznikat danému zubnímu lékaři zvýšené náklady. Jedná se zejména o provozní náklady, které zubní lékař vynakládá bez ohledu na to, zda a kolik pacientů se v průběhu služby do ordinace dostaví. Udržení této sítě pohotovostí zubních lékařů proto vyžaduje finanční účast Jihočeského kraje. </w:t>
      </w:r>
    </w:p>
    <w:p w14:paraId="7CD85E25" w14:textId="77777777" w:rsidR="009636FB" w:rsidRPr="008102BE" w:rsidRDefault="009636FB" w:rsidP="003C47BA">
      <w:pPr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</w:p>
    <w:p w14:paraId="13A0B159" w14:textId="77777777" w:rsidR="009636FB" w:rsidRPr="008102BE" w:rsidRDefault="009636FB" w:rsidP="003C47BA">
      <w:pPr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Dotační program </w:t>
      </w:r>
      <w:r w:rsidRPr="008102BE">
        <w:rPr>
          <w:rFonts w:ascii="Neue Haas Grotesk Text Pro" w:eastAsia="Times New Roman" w:hAnsi="Neue Haas Grotesk Text Pro" w:cs="Arial"/>
          <w:bCs/>
          <w:sz w:val="20"/>
          <w:szCs w:val="20"/>
          <w:lang w:eastAsia="cs-CZ"/>
        </w:rPr>
        <w:t xml:space="preserve">Jihočeského kraje „Podpora zajištění pohotovostních služeb v oboru zubní lékařství na území vybraných okresů Jihočeského kraje“ </w:t>
      </w: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>má za cíl zajištění a udržení sítě pohotovostních služeb v oboru zubní lékařství v roce 2025 na území okresů Jindřichův Hradec, Písek, Prachatice-Strakonice a Tábor. S ohledem na</w:t>
      </w:r>
      <w:r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> </w:t>
      </w: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menší počet zubařů jsou okresy Prachatice a Strakonice spojeny a tvoří tak jednu oblast pro zajištění zubní pohotovosti. </w:t>
      </w:r>
    </w:p>
    <w:p w14:paraId="16C05935" w14:textId="77777777" w:rsidR="009636FB" w:rsidRPr="008102BE" w:rsidRDefault="009636FB" w:rsidP="003C47BA">
      <w:pPr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</w:p>
    <w:p w14:paraId="6C2B10BB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V rámci dotačního programu bude časový úsek poskytované pohotovostní služby zubních lékařů v okresech požadován o sobotách, nedělích a svátcích od 8,00 do 12,00 hodin s tím, že v okrese Jindřichův Hradec a Tábor je ujednáno zajistit 4 hodiny nepřetržitého provozu v uvedeném časovém rozsahu a v ostatních okresech 3 hodiny nepřetržitého provozu v uvedeném časovém rozsahu. </w:t>
      </w:r>
    </w:p>
    <w:p w14:paraId="4B2DC4E7" w14:textId="77777777" w:rsidR="009636FB" w:rsidRPr="008102BE" w:rsidRDefault="009636FB" w:rsidP="003C47BA">
      <w:pPr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V každém z uvedených okresů bude finančně podpořen poskytovatel zdravotních služeb zajišťující pohotovostní služby zubního lékaře dle rozpisu služeb provedeného příslušnou oblastní stomatologickou komorou a Odborem zdravotnictví Krajského úřadu Jihočeského kraje. </w:t>
      </w:r>
    </w:p>
    <w:p w14:paraId="35E7AC35" w14:textId="77777777" w:rsidR="009636FB" w:rsidRPr="008102BE" w:rsidRDefault="009636FB" w:rsidP="003C47BA">
      <w:pPr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</w:p>
    <w:p w14:paraId="13C64260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 xml:space="preserve">Maximální výše dotace na 1 hodinu provozu ordinace zubní pohotovosti bude činit 1 400,- Kč a bude poskytována zpětně po splnění účelu dotace a dodržení podmínek stanovených pravidly dotačního programu. </w:t>
      </w:r>
    </w:p>
    <w:p w14:paraId="37ED1D8A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>Žadatel bude moci podat 1 souhrnnou žádost o dotaci za splnění účelu dotace v roce 2025, nebo maximálně 2 žádosti. Jednu žádost bude moci podat v termínu od 1. 7.  do 31. 8. 2025 za splnění účelu dotace v I. pololetí roku 2025, druhou pak v termínu od 1. 1. do 28. 2. 2026 za splnění účelu dotace ve II. pololetí roku 2025.</w:t>
      </w:r>
    </w:p>
    <w:p w14:paraId="1E93079C" w14:textId="77777777" w:rsidR="009636FB" w:rsidRPr="008102BE" w:rsidRDefault="009636FB" w:rsidP="003C47BA">
      <w:pPr>
        <w:spacing w:after="60"/>
        <w:jc w:val="both"/>
        <w:rPr>
          <w:rFonts w:ascii="Neue Haas Grotesk Text Pro" w:eastAsia="Times New Roman" w:hAnsi="Neue Haas Grotesk Text Pro" w:cs="Arial"/>
          <w:sz w:val="20"/>
          <w:szCs w:val="20"/>
          <w:lang w:eastAsia="cs-CZ"/>
        </w:rPr>
      </w:pPr>
      <w:r w:rsidRPr="008102BE">
        <w:rPr>
          <w:rFonts w:ascii="Neue Haas Grotesk Text Pro" w:eastAsia="Times New Roman" w:hAnsi="Neue Haas Grotesk Text Pro" w:cs="Arial"/>
          <w:sz w:val="20"/>
          <w:szCs w:val="20"/>
          <w:lang w:eastAsia="cs-CZ"/>
        </w:rPr>
        <w:t>Celková alokace na tento dotační program činí 2 234 400 Kč.</w:t>
      </w:r>
    </w:p>
    <w:p w14:paraId="0997A24C" w14:textId="77777777" w:rsidR="009636FB" w:rsidRDefault="009636FB" w:rsidP="003C47BA">
      <w:pPr>
        <w:pStyle w:val="KUJKnormal"/>
        <w:rPr>
          <w:rFonts w:ascii="Arial" w:hAnsi="Arial"/>
          <w:color w:val="FF0000"/>
          <w:sz w:val="20"/>
        </w:rPr>
      </w:pPr>
    </w:p>
    <w:p w14:paraId="193A010C" w14:textId="77777777" w:rsidR="009636FB" w:rsidRDefault="009636FB" w:rsidP="003C47BA">
      <w:pPr>
        <w:pStyle w:val="KUJKnormal"/>
        <w:rPr>
          <w:color w:val="FF0000"/>
        </w:rPr>
      </w:pPr>
    </w:p>
    <w:p w14:paraId="6146EF1E" w14:textId="77777777" w:rsidR="009636FB" w:rsidRDefault="009636FB" w:rsidP="003C47BA">
      <w:pPr>
        <w:pStyle w:val="KUJKnormal"/>
      </w:pPr>
      <w:r>
        <w:t xml:space="preserve">Finanční nároky a krytí: </w:t>
      </w:r>
    </w:p>
    <w:p w14:paraId="79502FDB" w14:textId="77777777" w:rsidR="009636FB" w:rsidRDefault="009636FB" w:rsidP="003C47BA">
      <w:pPr>
        <w:pStyle w:val="KUJKnormal"/>
      </w:pPr>
      <w:bookmarkStart w:id="2" w:name="_Hlk192688427"/>
      <w:r>
        <w:t xml:space="preserve">Finanční prostředky k úhradě žádostí o dotaci za I. pololetí 2025 jsou alokovány v rozpočtu Jihočeského kraje pro rok 2025 v rámci ORJ 0953 </w:t>
      </w:r>
      <w:r>
        <w:rPr>
          <w:i/>
          <w:iCs/>
        </w:rPr>
        <w:t>dotační politika</w:t>
      </w:r>
      <w:r>
        <w:t xml:space="preserve">, § 3513 </w:t>
      </w:r>
      <w:r>
        <w:rPr>
          <w:i/>
          <w:iCs/>
        </w:rPr>
        <w:t>Lékařská služba první pomoci</w:t>
      </w:r>
      <w:r>
        <w:t xml:space="preserve">, položka 5219 </w:t>
      </w:r>
      <w:r>
        <w:rPr>
          <w:i/>
          <w:iCs/>
        </w:rPr>
        <w:t>Ostatní neinvestiční transfery podnikatelům</w:t>
      </w:r>
      <w:r>
        <w:t xml:space="preserve">. Na základě rozhodnutí o poskytnutí dotace dojde úpravou rozpisu rozpočtu k rozpisu na jednotlivé položky podle právní formy podnikání (položka 5212 </w:t>
      </w:r>
      <w:r>
        <w:rPr>
          <w:i/>
          <w:iCs/>
        </w:rPr>
        <w:t>Neinvestiční transfery nefinančním podnikatelům – fyzickým osobám</w:t>
      </w:r>
      <w:r>
        <w:t xml:space="preserve"> a položka 5213 </w:t>
      </w:r>
      <w:r>
        <w:rPr>
          <w:i/>
          <w:iCs/>
        </w:rPr>
        <w:t>Neinvestiční transfery nefinančním podnikatelům – právnickým osobám</w:t>
      </w:r>
      <w:r>
        <w:t xml:space="preserve">). </w:t>
      </w:r>
    </w:p>
    <w:p w14:paraId="1448DC39" w14:textId="77777777" w:rsidR="009636FB" w:rsidRDefault="009636FB" w:rsidP="003C47BA">
      <w:pPr>
        <w:pStyle w:val="KUJKnormal"/>
        <w:rPr>
          <w:color w:val="FF0000"/>
        </w:rPr>
      </w:pPr>
      <w:r>
        <w:t>Finanční prostředky k úhradě žádostí o dotaci za II. pololetí 2025 budou nárokovány v rámci návrhu rozpočtu 2026.</w:t>
      </w:r>
    </w:p>
    <w:bookmarkEnd w:id="2"/>
    <w:p w14:paraId="4A352D54" w14:textId="77777777" w:rsidR="009636FB" w:rsidRDefault="009636FB" w:rsidP="003C47BA">
      <w:pPr>
        <w:pStyle w:val="KUJKnormal"/>
        <w:rPr>
          <w:color w:val="FF0000"/>
        </w:rPr>
      </w:pPr>
    </w:p>
    <w:p w14:paraId="7518D950" w14:textId="77777777" w:rsidR="009636FB" w:rsidRDefault="009636FB" w:rsidP="003C47BA">
      <w:pPr>
        <w:pStyle w:val="KUJKnormal"/>
      </w:pPr>
      <w:r>
        <w:t xml:space="preserve">Vyjádření správce rozpočtu: </w:t>
      </w:r>
    </w:p>
    <w:p w14:paraId="5555BE2F" w14:textId="77777777" w:rsidR="009636FB" w:rsidRDefault="009636FB" w:rsidP="0076599F">
      <w:pPr>
        <w:pStyle w:val="KUJKnormal"/>
      </w:pPr>
      <w:r>
        <w:t>Bc. Monika Wolfová (OEKO): Souhlasím</w:t>
      </w:r>
      <w:r w:rsidRPr="007666AA">
        <w:t xml:space="preserve"> – z</w:t>
      </w:r>
      <w:r>
        <w:t xml:space="preserve"> rozpočtového hlediska. </w:t>
      </w:r>
    </w:p>
    <w:p w14:paraId="556DEF1C" w14:textId="77777777" w:rsidR="009636FB" w:rsidRDefault="009636FB" w:rsidP="003C47BA">
      <w:pPr>
        <w:pStyle w:val="KUJKnormal"/>
      </w:pPr>
    </w:p>
    <w:p w14:paraId="757ADD6F" w14:textId="77777777" w:rsidR="009636FB" w:rsidRDefault="009636FB" w:rsidP="003C47BA">
      <w:pPr>
        <w:pStyle w:val="KUJKnormal"/>
      </w:pPr>
      <w:r>
        <w:t xml:space="preserve">Návrh projednán (stanoviska): </w:t>
      </w:r>
    </w:p>
    <w:p w14:paraId="058DEA7B" w14:textId="77777777" w:rsidR="009636FB" w:rsidRPr="00A521E1" w:rsidRDefault="009636FB" w:rsidP="008102BE">
      <w:pPr>
        <w:pStyle w:val="KUJKnormal"/>
        <w:spacing w:after="60"/>
        <w:contextualSpacing w:val="0"/>
      </w:pPr>
      <w:bookmarkStart w:id="3" w:name="_Hlk192687121"/>
      <w:r>
        <w:t>Mgr. Markéta Procházková (OPZU):</w:t>
      </w:r>
      <w:r w:rsidRPr="00A521E1">
        <w:t xml:space="preserve"> </w:t>
      </w:r>
      <w:r>
        <w:t>Souhlasím.</w:t>
      </w:r>
    </w:p>
    <w:p w14:paraId="30692D9A" w14:textId="77777777" w:rsidR="009636FB" w:rsidRDefault="009636FB" w:rsidP="003C47BA">
      <w:pPr>
        <w:pStyle w:val="KUJKnormal"/>
        <w:spacing w:after="60"/>
      </w:pPr>
      <w:r>
        <w:t xml:space="preserve">Návrh projednala rada kraje </w:t>
      </w:r>
      <w:r>
        <w:rPr>
          <w:rFonts w:cs="Arial"/>
          <w:szCs w:val="20"/>
        </w:rPr>
        <w:t xml:space="preserve">dne 13. 3. 2025 a usnesením č. 262/2025/RK-9 </w:t>
      </w:r>
      <w:bookmarkEnd w:id="3"/>
      <w:r>
        <w:rPr>
          <w:rFonts w:cs="Arial"/>
          <w:szCs w:val="20"/>
        </w:rPr>
        <w:t xml:space="preserve">doporučila zastupitelstvu kraje </w:t>
      </w:r>
      <w:r>
        <w:t>schválit dotační program, schválit vzorovou smlouvu o poskytnutí dotace a pověřit radu kraje vyhlášením dotačního programu vč. schválení pravidel dotačního programu.</w:t>
      </w:r>
    </w:p>
    <w:p w14:paraId="4E073A45" w14:textId="77777777" w:rsidR="009636FB" w:rsidRDefault="009636FB" w:rsidP="003C47BA">
      <w:pPr>
        <w:pStyle w:val="KUJKnormal"/>
        <w:rPr>
          <w:color w:val="FF0000"/>
        </w:rPr>
      </w:pPr>
    </w:p>
    <w:p w14:paraId="0653544B" w14:textId="77777777" w:rsidR="009636FB" w:rsidRDefault="009636FB" w:rsidP="003C47BA">
      <w:pPr>
        <w:pStyle w:val="KUJKnormal"/>
      </w:pPr>
    </w:p>
    <w:p w14:paraId="45D571F3" w14:textId="77777777" w:rsidR="009636FB" w:rsidRDefault="009636FB" w:rsidP="003C47BA">
      <w:pPr>
        <w:pStyle w:val="KUJKtucny"/>
      </w:pPr>
      <w:r>
        <w:t>PŘÍLOHY:</w:t>
      </w:r>
    </w:p>
    <w:p w14:paraId="288153AA" w14:textId="77777777" w:rsidR="009636FB" w:rsidRPr="00B52AA9" w:rsidRDefault="009636FB" w:rsidP="00736AB4">
      <w:pPr>
        <w:pStyle w:val="KUJKcislovany"/>
        <w:numPr>
          <w:ilvl w:val="0"/>
          <w:numId w:val="0"/>
        </w:numPr>
        <w:ind w:left="284" w:hanging="284"/>
      </w:pPr>
      <w:r>
        <w:t xml:space="preserve">Smlouva o poskytnutí dotace  </w:t>
      </w:r>
      <w:r w:rsidRPr="0081756D">
        <w:t xml:space="preserve"> (</w:t>
      </w:r>
      <w:r>
        <w:t>KUJK_ZK100425_101_př. Smlouva o poskytnutí dotace.pdf</w:t>
      </w:r>
      <w:r w:rsidRPr="0081756D">
        <w:t>)</w:t>
      </w:r>
    </w:p>
    <w:p w14:paraId="0473792D" w14:textId="77777777" w:rsidR="009636FB" w:rsidRDefault="009636FB" w:rsidP="003C47BA">
      <w:pPr>
        <w:pStyle w:val="KUJKnormal"/>
        <w:rPr>
          <w:color w:val="FF0000"/>
        </w:rPr>
      </w:pPr>
    </w:p>
    <w:p w14:paraId="5CFC73B6" w14:textId="77777777" w:rsidR="009636FB" w:rsidRDefault="009636FB" w:rsidP="003C47BA">
      <w:pPr>
        <w:pStyle w:val="KUJKtucny"/>
      </w:pPr>
      <w:r>
        <w:t xml:space="preserve">Zodpovídá: </w:t>
      </w:r>
      <w:r>
        <w:rPr>
          <w:b w:val="0"/>
          <w:bCs/>
        </w:rPr>
        <w:t>vedoucí OZDR – Mgr. Ivana Turková</w:t>
      </w:r>
    </w:p>
    <w:p w14:paraId="5BEFE814" w14:textId="77777777" w:rsidR="009636FB" w:rsidRDefault="009636FB" w:rsidP="003C47BA">
      <w:pPr>
        <w:pStyle w:val="KUJKnormal"/>
        <w:rPr>
          <w:color w:val="FF0000"/>
        </w:rPr>
      </w:pPr>
    </w:p>
    <w:p w14:paraId="1DA734BD" w14:textId="77777777" w:rsidR="009636FB" w:rsidRDefault="009636FB" w:rsidP="003C47BA">
      <w:pPr>
        <w:pStyle w:val="KUJKnormal"/>
      </w:pPr>
      <w:r>
        <w:t>Termín kontroly: 19. 6. 2025</w:t>
      </w:r>
    </w:p>
    <w:p w14:paraId="329EF899" w14:textId="77777777" w:rsidR="009636FB" w:rsidRPr="0051330A" w:rsidRDefault="009636FB" w:rsidP="003C47BA">
      <w:pPr>
        <w:pStyle w:val="KUJKnormal"/>
      </w:pPr>
      <w:r>
        <w:t>Termín splnění: 24. 4. 2025</w:t>
      </w: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46F1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46F1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6614" w14:textId="77777777" w:rsidR="009636FB" w:rsidRDefault="009636FB" w:rsidP="009636FB">
    <w:r>
      <w:rPr>
        <w:noProof/>
      </w:rPr>
      <w:pict w14:anchorId="4A726FC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BE8CDF" w14:textId="77777777" w:rsidR="009636FB" w:rsidRPr="00D405BE" w:rsidRDefault="009636FB" w:rsidP="009636FB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312EFD30" w14:textId="77777777" w:rsidR="009636FB" w:rsidRPr="00D405BE" w:rsidRDefault="009636FB" w:rsidP="009636FB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AAB24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B85D810">
        <v:rect id="_x0000_i1026" style="width:481.9pt;height:2pt" o:hralign="center" o:hrstd="t" o:hrnoshade="t" o:hr="t" fillcolor="black" stroked="f"/>
      </w:pict>
    </w:r>
  </w:p>
  <w:p w14:paraId="15A67E2D" w14:textId="77777777" w:rsidR="009636FB" w:rsidRPr="009636FB" w:rsidRDefault="009636FB" w:rsidP="009636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9686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1259643">
    <w:abstractNumId w:val="4"/>
    <w:lvlOverride w:ilvl="0">
      <w:startOverride w:val="1"/>
    </w:lvlOverride>
    <w:lvlOverride w:ilvl="1">
      <w:startOverride w:val="2"/>
    </w:lvlOverride>
  </w:num>
  <w:num w:numId="13" w16cid:durableId="266817219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619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36FB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15A6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99C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2025-04-11T11:21:00Z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6779091</vt:i4>
  </property>
  <property fmtid="{D5CDD505-2E9C-101B-9397-08002B2CF9AE}" pid="5" name="UlozitJako">
    <vt:lpwstr>C:\Users\mrazkova\AppData\Local\Temp\iU17860052\Zastupitelstvo\2025-04-10\Navrhy\101-ZK-25.</vt:lpwstr>
  </property>
  <property fmtid="{D5CDD505-2E9C-101B-9397-08002B2CF9AE}" pid="6" name="Zpracovat">
    <vt:bool>false</vt:bool>
  </property>
</Properties>
</file>