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D745A" w14:paraId="240595E8" w14:textId="77777777" w:rsidTr="00AF600B">
        <w:trPr>
          <w:trHeight w:hRule="exact" w:val="397"/>
        </w:trPr>
        <w:tc>
          <w:tcPr>
            <w:tcW w:w="2376" w:type="dxa"/>
            <w:hideMark/>
          </w:tcPr>
          <w:p w14:paraId="37AA2A25" w14:textId="77777777" w:rsidR="005D745A" w:rsidRDefault="005D745A" w:rsidP="00970720">
            <w:pPr>
              <w:pStyle w:val="KUJKtucny"/>
            </w:pPr>
            <w:r>
              <w:t>Datum jednání:</w:t>
            </w:r>
          </w:p>
        </w:tc>
        <w:tc>
          <w:tcPr>
            <w:tcW w:w="3828" w:type="dxa"/>
            <w:hideMark/>
          </w:tcPr>
          <w:p w14:paraId="161FAF60" w14:textId="77777777" w:rsidR="005D745A" w:rsidRDefault="005D745A" w:rsidP="00970720">
            <w:pPr>
              <w:pStyle w:val="KUJKnormal"/>
            </w:pPr>
            <w:r>
              <w:t>12.09.2024</w:t>
            </w:r>
          </w:p>
        </w:tc>
        <w:tc>
          <w:tcPr>
            <w:tcW w:w="2126" w:type="dxa"/>
            <w:hideMark/>
          </w:tcPr>
          <w:p w14:paraId="5897B8DC" w14:textId="77777777" w:rsidR="005D745A" w:rsidRDefault="005D745A" w:rsidP="00970720">
            <w:pPr>
              <w:pStyle w:val="KUJKtucny"/>
            </w:pPr>
            <w:r>
              <w:t xml:space="preserve">Bod programu: </w:t>
            </w:r>
            <w:r w:rsidRPr="009419F6">
              <w:rPr>
                <w:sz w:val="32"/>
                <w:szCs w:val="32"/>
              </w:rPr>
              <w:t>28</w:t>
            </w:r>
          </w:p>
        </w:tc>
        <w:tc>
          <w:tcPr>
            <w:tcW w:w="850" w:type="dxa"/>
          </w:tcPr>
          <w:p w14:paraId="4F9BB899" w14:textId="77777777" w:rsidR="005D745A" w:rsidRDefault="005D745A" w:rsidP="00970720">
            <w:pPr>
              <w:pStyle w:val="KUJKnormal"/>
            </w:pPr>
          </w:p>
        </w:tc>
      </w:tr>
      <w:tr w:rsidR="005D745A" w14:paraId="41FDEEF5" w14:textId="77777777" w:rsidTr="00AF600B">
        <w:trPr>
          <w:cantSplit/>
          <w:trHeight w:hRule="exact" w:val="397"/>
        </w:trPr>
        <w:tc>
          <w:tcPr>
            <w:tcW w:w="2376" w:type="dxa"/>
            <w:hideMark/>
          </w:tcPr>
          <w:p w14:paraId="0554B456" w14:textId="77777777" w:rsidR="005D745A" w:rsidRDefault="005D745A" w:rsidP="00970720">
            <w:pPr>
              <w:pStyle w:val="KUJKtucny"/>
            </w:pPr>
            <w:r>
              <w:t>Číslo návrhu:</w:t>
            </w:r>
          </w:p>
        </w:tc>
        <w:tc>
          <w:tcPr>
            <w:tcW w:w="6804" w:type="dxa"/>
            <w:gridSpan w:val="3"/>
            <w:hideMark/>
          </w:tcPr>
          <w:p w14:paraId="1D96EC8F" w14:textId="77777777" w:rsidR="005D745A" w:rsidRDefault="005D745A" w:rsidP="00970720">
            <w:pPr>
              <w:pStyle w:val="KUJKnormal"/>
            </w:pPr>
            <w:r>
              <w:t>322/ZK/24</w:t>
            </w:r>
          </w:p>
        </w:tc>
      </w:tr>
      <w:tr w:rsidR="005D745A" w14:paraId="3E8D2706" w14:textId="77777777" w:rsidTr="00AF600B">
        <w:trPr>
          <w:trHeight w:val="397"/>
        </w:trPr>
        <w:tc>
          <w:tcPr>
            <w:tcW w:w="2376" w:type="dxa"/>
          </w:tcPr>
          <w:p w14:paraId="45C51202" w14:textId="77777777" w:rsidR="005D745A" w:rsidRDefault="005D745A" w:rsidP="00970720"/>
          <w:p w14:paraId="3450AADF" w14:textId="77777777" w:rsidR="005D745A" w:rsidRDefault="005D745A" w:rsidP="00970720">
            <w:pPr>
              <w:pStyle w:val="KUJKtucny"/>
            </w:pPr>
            <w:r>
              <w:t>Název bodu:</w:t>
            </w:r>
          </w:p>
        </w:tc>
        <w:tc>
          <w:tcPr>
            <w:tcW w:w="6804" w:type="dxa"/>
            <w:gridSpan w:val="3"/>
          </w:tcPr>
          <w:p w14:paraId="15B8062E" w14:textId="77777777" w:rsidR="005D745A" w:rsidRDefault="005D745A" w:rsidP="00970720"/>
          <w:p w14:paraId="4FD1CC08" w14:textId="77777777" w:rsidR="005D745A" w:rsidRDefault="005D745A" w:rsidP="00970720">
            <w:pPr>
              <w:pStyle w:val="KUJKtucny"/>
              <w:rPr>
                <w:sz w:val="22"/>
                <w:szCs w:val="22"/>
              </w:rPr>
            </w:pPr>
            <w:r>
              <w:rPr>
                <w:sz w:val="22"/>
                <w:szCs w:val="22"/>
              </w:rPr>
              <w:t>Smlouva o spolupráci a smlouva darovací mezi Jihočeským krajem a městem Veselí nad Lužnicí – objekt Stará radnice</w:t>
            </w:r>
          </w:p>
        </w:tc>
      </w:tr>
    </w:tbl>
    <w:p w14:paraId="481EDC08" w14:textId="77777777" w:rsidR="005D745A" w:rsidRDefault="005D745A" w:rsidP="00AF600B">
      <w:pPr>
        <w:pStyle w:val="KUJKnormal"/>
        <w:rPr>
          <w:b/>
          <w:bCs/>
        </w:rPr>
      </w:pPr>
      <w:r>
        <w:rPr>
          <w:b/>
          <w:bCs/>
        </w:rPr>
        <w:pict w14:anchorId="5DFC6B38">
          <v:rect id="_x0000_i1029" style="width:453.6pt;height:1.5pt" o:hralign="center" o:hrstd="t" o:hrnoshade="t" o:hr="t" fillcolor="black" stroked="f"/>
        </w:pict>
      </w:r>
    </w:p>
    <w:p w14:paraId="62EC0A5A" w14:textId="77777777" w:rsidR="005D745A" w:rsidRDefault="005D745A" w:rsidP="00AF600B">
      <w:pPr>
        <w:pStyle w:val="KUJKnormal"/>
      </w:pPr>
    </w:p>
    <w:p w14:paraId="14560AAC" w14:textId="77777777" w:rsidR="005D745A" w:rsidRDefault="005D745A" w:rsidP="00AF600B"/>
    <w:tbl>
      <w:tblPr>
        <w:tblW w:w="0" w:type="auto"/>
        <w:tblCellMar>
          <w:left w:w="70" w:type="dxa"/>
          <w:right w:w="70" w:type="dxa"/>
        </w:tblCellMar>
        <w:tblLook w:val="04A0" w:firstRow="1" w:lastRow="0" w:firstColumn="1" w:lastColumn="0" w:noHBand="0" w:noVBand="1"/>
      </w:tblPr>
      <w:tblGrid>
        <w:gridCol w:w="2350"/>
        <w:gridCol w:w="6862"/>
      </w:tblGrid>
      <w:tr w:rsidR="005D745A" w14:paraId="432EECD8" w14:textId="77777777" w:rsidTr="002559B8">
        <w:trPr>
          <w:trHeight w:val="397"/>
        </w:trPr>
        <w:tc>
          <w:tcPr>
            <w:tcW w:w="2350" w:type="dxa"/>
            <w:hideMark/>
          </w:tcPr>
          <w:p w14:paraId="43E41225" w14:textId="77777777" w:rsidR="005D745A" w:rsidRDefault="005D745A" w:rsidP="002559B8">
            <w:pPr>
              <w:pStyle w:val="KUJKtucny"/>
            </w:pPr>
            <w:r>
              <w:t>Předkladatel:</w:t>
            </w:r>
          </w:p>
        </w:tc>
        <w:tc>
          <w:tcPr>
            <w:tcW w:w="6862" w:type="dxa"/>
          </w:tcPr>
          <w:p w14:paraId="1F98EEFC" w14:textId="77777777" w:rsidR="005D745A" w:rsidRDefault="005D745A" w:rsidP="002559B8">
            <w:pPr>
              <w:pStyle w:val="KUJKnormal"/>
            </w:pPr>
            <w:r>
              <w:t>Mgr. Pavel Klíma</w:t>
            </w:r>
          </w:p>
          <w:p w14:paraId="4914EF58" w14:textId="77777777" w:rsidR="005D745A" w:rsidRDefault="005D745A" w:rsidP="002559B8"/>
        </w:tc>
      </w:tr>
      <w:tr w:rsidR="005D745A" w14:paraId="4844C588" w14:textId="77777777" w:rsidTr="002559B8">
        <w:trPr>
          <w:trHeight w:val="397"/>
        </w:trPr>
        <w:tc>
          <w:tcPr>
            <w:tcW w:w="2350" w:type="dxa"/>
          </w:tcPr>
          <w:p w14:paraId="7A40E731" w14:textId="77777777" w:rsidR="005D745A" w:rsidRDefault="005D745A" w:rsidP="002559B8">
            <w:pPr>
              <w:pStyle w:val="KUJKtucny"/>
            </w:pPr>
            <w:r>
              <w:t>Zpracoval:</w:t>
            </w:r>
          </w:p>
          <w:p w14:paraId="26F24301" w14:textId="77777777" w:rsidR="005D745A" w:rsidRDefault="005D745A" w:rsidP="002559B8"/>
        </w:tc>
        <w:tc>
          <w:tcPr>
            <w:tcW w:w="6862" w:type="dxa"/>
            <w:hideMark/>
          </w:tcPr>
          <w:p w14:paraId="37014F1C" w14:textId="77777777" w:rsidR="005D745A" w:rsidRDefault="005D745A" w:rsidP="002559B8">
            <w:pPr>
              <w:pStyle w:val="KUJKnormal"/>
            </w:pPr>
            <w:r>
              <w:t>OSMT</w:t>
            </w:r>
          </w:p>
        </w:tc>
      </w:tr>
      <w:tr w:rsidR="005D745A" w14:paraId="33D7A640" w14:textId="77777777" w:rsidTr="002559B8">
        <w:trPr>
          <w:trHeight w:val="397"/>
        </w:trPr>
        <w:tc>
          <w:tcPr>
            <w:tcW w:w="2350" w:type="dxa"/>
          </w:tcPr>
          <w:p w14:paraId="115ABC83" w14:textId="77777777" w:rsidR="005D745A" w:rsidRPr="009715F9" w:rsidRDefault="005D745A" w:rsidP="002559B8">
            <w:pPr>
              <w:pStyle w:val="KUJKnormal"/>
              <w:rPr>
                <w:b/>
              </w:rPr>
            </w:pPr>
            <w:r w:rsidRPr="009715F9">
              <w:rPr>
                <w:b/>
              </w:rPr>
              <w:t>Vedoucí odboru:</w:t>
            </w:r>
          </w:p>
          <w:p w14:paraId="60FEB9B7" w14:textId="77777777" w:rsidR="005D745A" w:rsidRDefault="005D745A" w:rsidP="002559B8"/>
        </w:tc>
        <w:tc>
          <w:tcPr>
            <w:tcW w:w="6862" w:type="dxa"/>
            <w:hideMark/>
          </w:tcPr>
          <w:p w14:paraId="2727904D" w14:textId="77777777" w:rsidR="005D745A" w:rsidRDefault="005D745A" w:rsidP="002559B8">
            <w:pPr>
              <w:pStyle w:val="KUJKnormal"/>
            </w:pPr>
            <w:r>
              <w:t>Ing. Hana Šímová</w:t>
            </w:r>
          </w:p>
        </w:tc>
      </w:tr>
    </w:tbl>
    <w:p w14:paraId="7311BBA4" w14:textId="77777777" w:rsidR="005D745A" w:rsidRDefault="005D745A" w:rsidP="00AF600B">
      <w:pPr>
        <w:pStyle w:val="KUJKnormal"/>
      </w:pPr>
    </w:p>
    <w:p w14:paraId="0A586CFB" w14:textId="77777777" w:rsidR="005D745A" w:rsidRPr="0052161F" w:rsidRDefault="005D745A" w:rsidP="00AF600B">
      <w:pPr>
        <w:pStyle w:val="KUJKtucny"/>
      </w:pPr>
      <w:r w:rsidRPr="0052161F">
        <w:t>NÁVRH USNESENÍ</w:t>
      </w:r>
    </w:p>
    <w:p w14:paraId="7D5989F5" w14:textId="77777777" w:rsidR="005D745A" w:rsidRDefault="005D745A">
      <w:pPr>
        <w:pStyle w:val="KUJKnormal"/>
        <w:rPr>
          <w:rFonts w:ascii="Calibri" w:hAnsi="Calibri" w:cs="Calibri"/>
          <w:sz w:val="12"/>
          <w:szCs w:val="12"/>
        </w:rPr>
      </w:pPr>
      <w:bookmarkStart w:id="0" w:name="US_ZaVeVeci"/>
      <w:bookmarkEnd w:id="0"/>
    </w:p>
    <w:p w14:paraId="6F0E85B8" w14:textId="77777777" w:rsidR="005D745A" w:rsidRPr="00841DFC" w:rsidRDefault="005D745A" w:rsidP="00AF600B">
      <w:pPr>
        <w:pStyle w:val="KUJKPolozka"/>
      </w:pPr>
      <w:r w:rsidRPr="00841DFC">
        <w:t>Zastupitelstvo Jihočeského kraje</w:t>
      </w:r>
    </w:p>
    <w:p w14:paraId="1B2CDEA7" w14:textId="77777777" w:rsidR="005D745A" w:rsidRPr="00E10FE7" w:rsidRDefault="005D745A" w:rsidP="00A96C82">
      <w:pPr>
        <w:pStyle w:val="KUJKdoplnek2"/>
      </w:pPr>
      <w:r w:rsidRPr="00AF7BAE">
        <w:t>schvaluje</w:t>
      </w:r>
    </w:p>
    <w:p w14:paraId="23667B6B" w14:textId="77777777" w:rsidR="005D745A" w:rsidRDefault="005D745A" w:rsidP="00A96C82">
      <w:pPr>
        <w:pStyle w:val="KUJKnormal"/>
      </w:pPr>
      <w:r>
        <w:t>1. návrh Smlouvy o spolupráci a smlouvy darovací „Stará radnice ve Veselí nad Lužnicí“ mezi Jihočeským krajem a městem Veselí nad Lužnicí dle přílohy č. 1 návrhu č. 322/ZK/24,</w:t>
      </w:r>
    </w:p>
    <w:p w14:paraId="2D998E0A" w14:textId="77777777" w:rsidR="005D745A" w:rsidRDefault="005D745A" w:rsidP="00A96C82">
      <w:pPr>
        <w:pStyle w:val="KUJKnormal"/>
      </w:pPr>
      <w:r>
        <w:t xml:space="preserve">2. přijetí daru nemovitostí v k. ú. Veselí nad Lužnicí, a to pozemku parcely KN č. 599/1, jehož součástí je stavba občanské vybavenosti čp. 110, Veselí nad Lužnicí I, pozemku parcely KN č. 599/4, jehož součástí je stavba občanské vybavenosti bez čp./če. stojící na pozemcích parcelách KN č. 599/4 a 594/6, pozemku parcely KN č. 594/6, na němž stojí stavba občanské vybavenosti bez čp./če., která je součástí pozemku parcely KN č. 599/4, a dále pozemků parcel KN č. 599/3 a 596/3 od města Veselí nad Lužnicí, se sídlem náměstí T. G. Masaryka 26/I, 391 81 Veselí nad Lužnicí, IČO 00253081, do vlastnictví Jihočeského kraje za účelem realizace společného projektu obou uvedených subjektů na využití objektu „Stará radnice“ pro potřeby města Veselí nad Lužnicí a příspěvkových organizací Jihočeského kraje – Domu dětí a mládeže, Tábor, Tržní náměstí 346, IČO 60061847, a Střední odborné školy ekologické a potravinářské, Veselí nad Lužnicí, Blatské sídliště 600/I, IČO 60061855, s podmínkou zřízení věcného práva předkupního k uvedeným nemovitostem a dále i věcného práva zákazu jejich zcizení na dobu 10 let od uzavření smlouvy ve prospěch města Veselí nad Lužnicí za sjednaných podmínek dle návrhu Smlouvy o spolupráci a smlouvy darovací „Stará radnice ve Veselí nad Lužnicí“ v příloze č. 1 návrhu č. 322/ZK/24, </w:t>
      </w:r>
    </w:p>
    <w:p w14:paraId="76EAEB1F" w14:textId="77777777" w:rsidR="005D745A" w:rsidRDefault="005D745A" w:rsidP="00A96C82">
      <w:pPr>
        <w:pStyle w:val="KUJKnormal"/>
      </w:pPr>
      <w:r>
        <w:t>3. předání uvedených nemovitostí dle části I. 2. tohoto usnesení k hospodaření se svěřeným majetkem Střední odborné škole ekologické a potravinářské, Veselí nad Lužnicí, Blatské sídliště 600/I, IČO 60061855, zřizované krajem, ke dni podání návrhu na vklad vlastnického práva ze Smlouvy o spolupráci a smlouvy darovací „Stará radnice ve Veselí nad Lužnicí“ do katastru nemovitostí;</w:t>
      </w:r>
    </w:p>
    <w:p w14:paraId="2D4B0E22" w14:textId="77777777" w:rsidR="005D745A" w:rsidRDefault="005D745A" w:rsidP="00C546A5">
      <w:pPr>
        <w:pStyle w:val="KUJKdoplnek2"/>
      </w:pPr>
      <w:r w:rsidRPr="0021676C">
        <w:t>ukládá</w:t>
      </w:r>
    </w:p>
    <w:p w14:paraId="3369EA38" w14:textId="77777777" w:rsidR="005D745A" w:rsidRDefault="005D745A" w:rsidP="00AF600B">
      <w:pPr>
        <w:pStyle w:val="KUJKnormal"/>
      </w:pPr>
      <w:r>
        <w:t>JUDr. Lukáši Glaserovi, LL.M., řediteli krajského úřadu, zajistit realizaci části I uvedeného usnesení.</w:t>
      </w:r>
    </w:p>
    <w:p w14:paraId="014B4535" w14:textId="77777777" w:rsidR="005D745A" w:rsidRDefault="005D745A" w:rsidP="00AF600B">
      <w:pPr>
        <w:pStyle w:val="KUJKnormal"/>
      </w:pPr>
      <w:r>
        <w:t>T: 31.12.2024</w:t>
      </w:r>
    </w:p>
    <w:p w14:paraId="3FAAB415" w14:textId="77777777" w:rsidR="005D745A" w:rsidRDefault="005D745A" w:rsidP="00AF600B">
      <w:pPr>
        <w:pStyle w:val="KUJKnormal"/>
      </w:pPr>
    </w:p>
    <w:p w14:paraId="12CB5B74" w14:textId="77777777" w:rsidR="005D745A" w:rsidRDefault="005D745A" w:rsidP="00AF600B">
      <w:pPr>
        <w:pStyle w:val="KUJKnormal"/>
      </w:pPr>
    </w:p>
    <w:p w14:paraId="1E803D92" w14:textId="77777777" w:rsidR="005D745A" w:rsidRDefault="005D745A" w:rsidP="00A96C82">
      <w:pPr>
        <w:pStyle w:val="KUJKmezeraDZ"/>
      </w:pPr>
      <w:bookmarkStart w:id="1" w:name="US_DuvodZprava"/>
      <w:bookmarkEnd w:id="1"/>
    </w:p>
    <w:p w14:paraId="38C6C801" w14:textId="77777777" w:rsidR="005D745A" w:rsidRDefault="005D745A" w:rsidP="00A96C82">
      <w:pPr>
        <w:pStyle w:val="KUJKnadpisDZ"/>
      </w:pPr>
      <w:r>
        <w:t>DŮVODOVÁ ZPRÁVA</w:t>
      </w:r>
    </w:p>
    <w:p w14:paraId="3CF3B085" w14:textId="77777777" w:rsidR="005D745A" w:rsidRPr="009B7B0B" w:rsidRDefault="005D745A" w:rsidP="00A96C82">
      <w:pPr>
        <w:pStyle w:val="KUJKmezeraDZ"/>
      </w:pPr>
    </w:p>
    <w:p w14:paraId="6BC7B634" w14:textId="77777777" w:rsidR="005D745A" w:rsidRDefault="005D745A" w:rsidP="00A33BDF">
      <w:pPr>
        <w:jc w:val="both"/>
        <w:rPr>
          <w:rFonts w:ascii="Arial" w:hAnsi="Arial" w:cs="Arial"/>
          <w:sz w:val="20"/>
          <w:szCs w:val="28"/>
        </w:rPr>
      </w:pPr>
      <w:r w:rsidRPr="00FB13C8">
        <w:rPr>
          <w:rFonts w:ascii="Arial" w:hAnsi="Arial" w:cs="Arial"/>
          <w:sz w:val="20"/>
          <w:szCs w:val="28"/>
        </w:rPr>
        <w:t>Podle § 35 odst. 1 zákona č. 129/2000 Sb., o krajích, zastupitelstvo rozhoduje ve věcech patřících do samostatné působnosti a podle § 36 téhož zákona je zastupitelstvu vyhrazeno rozhodování o nabytí a převodu hmotných nemovitých věcí, s výjimkou inženýrských sítí a pozemních komunikací.</w:t>
      </w:r>
      <w:r>
        <w:rPr>
          <w:rFonts w:ascii="Arial" w:hAnsi="Arial" w:cs="Arial"/>
          <w:sz w:val="20"/>
          <w:szCs w:val="28"/>
        </w:rPr>
        <w:t xml:space="preserve"> </w:t>
      </w:r>
    </w:p>
    <w:p w14:paraId="67A5EB90" w14:textId="77777777" w:rsidR="005D745A" w:rsidRDefault="005D745A" w:rsidP="00A33BDF">
      <w:pPr>
        <w:jc w:val="both"/>
        <w:rPr>
          <w:rFonts w:ascii="Arial" w:hAnsi="Arial" w:cs="Arial"/>
          <w:sz w:val="20"/>
          <w:szCs w:val="28"/>
        </w:rPr>
      </w:pPr>
    </w:p>
    <w:p w14:paraId="634AEB1F" w14:textId="77777777" w:rsidR="005D745A" w:rsidRDefault="005D745A" w:rsidP="00A33BDF">
      <w:pPr>
        <w:jc w:val="both"/>
        <w:rPr>
          <w:rFonts w:ascii="Arial" w:hAnsi="Arial" w:cs="Arial"/>
          <w:i/>
          <w:iCs/>
          <w:sz w:val="20"/>
          <w:szCs w:val="28"/>
        </w:rPr>
      </w:pPr>
      <w:r>
        <w:rPr>
          <w:rFonts w:ascii="Arial" w:hAnsi="Arial" w:cs="Arial"/>
          <w:i/>
          <w:iCs/>
          <w:sz w:val="20"/>
          <w:szCs w:val="28"/>
        </w:rPr>
        <w:t>Majetkové dispozice</w:t>
      </w:r>
    </w:p>
    <w:p w14:paraId="4C2AEF1C" w14:textId="77777777" w:rsidR="005D745A" w:rsidRDefault="005D745A" w:rsidP="00A33BDF">
      <w:pPr>
        <w:spacing w:after="120"/>
        <w:jc w:val="both"/>
        <w:rPr>
          <w:rFonts w:ascii="Arial" w:hAnsi="Arial" w:cs="Arial"/>
          <w:sz w:val="20"/>
          <w:szCs w:val="28"/>
        </w:rPr>
      </w:pPr>
      <w:r>
        <w:rPr>
          <w:rFonts w:ascii="Arial" w:hAnsi="Arial" w:cs="Arial"/>
          <w:sz w:val="20"/>
          <w:szCs w:val="28"/>
        </w:rPr>
        <w:t>Město Veselí nad Lužnicí (dále jen „město“) odkoupilo od soukromého vlastníka objekt „Staré radnice“ na adrese náměstí T. G. Masaryka 110 v hodnotě 20 mil. Kč na konci roku 2022. Jedná se o objekt ze 17. století v renesančním slohu s obestavěností přes 10 tis. m</w:t>
      </w:r>
      <w:r>
        <w:rPr>
          <w:rFonts w:ascii="Arial" w:hAnsi="Arial" w:cs="Arial"/>
          <w:sz w:val="20"/>
          <w:szCs w:val="28"/>
          <w:vertAlign w:val="superscript"/>
        </w:rPr>
        <w:t>3</w:t>
      </w:r>
      <w:r>
        <w:rPr>
          <w:rFonts w:ascii="Arial" w:hAnsi="Arial" w:cs="Arial"/>
          <w:sz w:val="20"/>
          <w:szCs w:val="28"/>
        </w:rPr>
        <w:t xml:space="preserve"> vč. dotčených pozemků 3 205 m</w:t>
      </w:r>
      <w:r>
        <w:rPr>
          <w:rFonts w:ascii="Arial" w:hAnsi="Arial" w:cs="Arial"/>
          <w:sz w:val="20"/>
          <w:szCs w:val="28"/>
          <w:vertAlign w:val="superscript"/>
        </w:rPr>
        <w:t>2</w:t>
      </w:r>
      <w:r>
        <w:rPr>
          <w:rFonts w:ascii="Arial" w:hAnsi="Arial" w:cs="Arial"/>
          <w:sz w:val="20"/>
          <w:szCs w:val="28"/>
        </w:rPr>
        <w:t>. Objekt je kulturní památkou a hlavní dominantou náměstí s významným pohledovým prvkem jižní fasády, v minulosti objekt sloužil jako radnice či kulturní centrum, v posledních letech byl v soukromém vlastnictví a byly na něm provedeny pouze zabezpečovací práce. Zadní část areálu sloužila jako pivovar od 16. do 19. století, uvnitř objektu jsou dochované klenby.</w:t>
      </w:r>
    </w:p>
    <w:p w14:paraId="2623DFC3" w14:textId="77777777" w:rsidR="005D745A" w:rsidRDefault="005D745A" w:rsidP="00A33BDF">
      <w:pPr>
        <w:jc w:val="both"/>
        <w:rPr>
          <w:rFonts w:ascii="Arial" w:hAnsi="Arial" w:cs="Arial"/>
          <w:sz w:val="20"/>
          <w:szCs w:val="28"/>
        </w:rPr>
      </w:pPr>
      <w:r>
        <w:rPr>
          <w:rFonts w:ascii="Arial" w:hAnsi="Arial" w:cs="Arial"/>
          <w:sz w:val="20"/>
          <w:szCs w:val="28"/>
        </w:rPr>
        <w:t>V současné době</w:t>
      </w:r>
      <w:r>
        <w:rPr>
          <w:rStyle w:val="Znakapoznpodarou"/>
          <w:rFonts w:ascii="Arial" w:hAnsi="Arial" w:cs="Arial"/>
          <w:sz w:val="20"/>
          <w:szCs w:val="28"/>
        </w:rPr>
        <w:footnoteReference w:id="1"/>
      </w:r>
      <w:r>
        <w:rPr>
          <w:rFonts w:ascii="Arial" w:hAnsi="Arial" w:cs="Arial"/>
          <w:sz w:val="20"/>
          <w:szCs w:val="28"/>
        </w:rPr>
        <w:t xml:space="preserve"> se jedná o nemovitosti vedené u Katastrálního úřadu pro Jihočeský kraj, Katastrálního pracoviště Tábor na listu vlastnictví 10001 pro obec Veselí nad Lužnicí a k. ú. Veselí nad Lužnicí jako vlastnictví města, a to: </w:t>
      </w:r>
      <w:r>
        <w:rPr>
          <w:rFonts w:ascii="Arial" w:hAnsi="Arial"/>
          <w:sz w:val="20"/>
          <w:szCs w:val="28"/>
        </w:rPr>
        <w:t xml:space="preserve">pozemek parcelu KN č. 599/1 </w:t>
      </w:r>
      <w:bookmarkStart w:id="2" w:name="_Hlk175047944"/>
      <w:r>
        <w:rPr>
          <w:rFonts w:ascii="Arial" w:hAnsi="Arial"/>
          <w:sz w:val="20"/>
          <w:szCs w:val="28"/>
        </w:rPr>
        <w:t>– zastavěná plocha a nádvoří o výměře 597 m</w:t>
      </w:r>
      <w:r>
        <w:rPr>
          <w:rFonts w:ascii="Arial" w:hAnsi="Arial"/>
          <w:sz w:val="20"/>
          <w:szCs w:val="28"/>
          <w:vertAlign w:val="superscript"/>
        </w:rPr>
        <w:t>2</w:t>
      </w:r>
      <w:r>
        <w:rPr>
          <w:rFonts w:ascii="Arial" w:hAnsi="Arial"/>
          <w:sz w:val="20"/>
          <w:szCs w:val="28"/>
        </w:rPr>
        <w:t xml:space="preserve">, </w:t>
      </w:r>
      <w:bookmarkEnd w:id="2"/>
      <w:r>
        <w:rPr>
          <w:rFonts w:ascii="Arial" w:hAnsi="Arial"/>
          <w:sz w:val="20"/>
          <w:szCs w:val="28"/>
        </w:rPr>
        <w:t>jehož součástí je stavba občanské vybavenosti čp. 110, Veselí nad Lužnicí I, pozemek parcelu KN č. 599/4 –zastavěná plocha a nádvoří o výměře 521 m</w:t>
      </w:r>
      <w:r>
        <w:rPr>
          <w:rFonts w:ascii="Arial" w:hAnsi="Arial"/>
          <w:sz w:val="20"/>
          <w:szCs w:val="28"/>
          <w:vertAlign w:val="superscript"/>
        </w:rPr>
        <w:t>2</w:t>
      </w:r>
      <w:r>
        <w:rPr>
          <w:rFonts w:ascii="Arial" w:hAnsi="Arial"/>
          <w:sz w:val="20"/>
          <w:szCs w:val="28"/>
        </w:rPr>
        <w:t xml:space="preserve">, jehož součástí je stavba občanské vybavenosti bez čp./če. stojící na pozemcích parcelách KN č. 599/4 a 594/6, pozemek parcelu KN č. 594/6 – zastavěná plocha a nádvoří </w:t>
      </w:r>
      <w:bookmarkStart w:id="3" w:name="_Hlk175048322"/>
      <w:r>
        <w:rPr>
          <w:rFonts w:ascii="Arial" w:hAnsi="Arial"/>
          <w:sz w:val="20"/>
          <w:szCs w:val="28"/>
        </w:rPr>
        <w:t>o výměře 20 m</w:t>
      </w:r>
      <w:r>
        <w:rPr>
          <w:rFonts w:ascii="Arial" w:hAnsi="Arial"/>
          <w:sz w:val="20"/>
          <w:szCs w:val="28"/>
          <w:vertAlign w:val="superscript"/>
        </w:rPr>
        <w:t>2</w:t>
      </w:r>
      <w:bookmarkEnd w:id="3"/>
      <w:r>
        <w:rPr>
          <w:rFonts w:ascii="Arial" w:hAnsi="Arial"/>
          <w:sz w:val="20"/>
          <w:szCs w:val="28"/>
        </w:rPr>
        <w:t xml:space="preserve">, na němž stojí stavba občanské vybavenosti bez čp./če., která je součástí pozemku parcely KN č. 599/4, a dále </w:t>
      </w:r>
      <w:bookmarkStart w:id="4" w:name="_Hlk175065749"/>
      <w:r>
        <w:rPr>
          <w:rFonts w:ascii="Arial" w:hAnsi="Arial"/>
          <w:sz w:val="20"/>
          <w:szCs w:val="28"/>
        </w:rPr>
        <w:t xml:space="preserve">pozemek parcelu KN č. 599/3 </w:t>
      </w:r>
      <w:bookmarkStart w:id="5" w:name="_Hlk175048437"/>
      <w:r>
        <w:rPr>
          <w:rFonts w:ascii="Arial" w:hAnsi="Arial"/>
          <w:sz w:val="20"/>
          <w:szCs w:val="28"/>
        </w:rPr>
        <w:t>– ostatní plocha, jiná plocha o výměře 7 m</w:t>
      </w:r>
      <w:r>
        <w:rPr>
          <w:rFonts w:ascii="Arial" w:hAnsi="Arial"/>
          <w:sz w:val="20"/>
          <w:szCs w:val="28"/>
          <w:vertAlign w:val="superscript"/>
        </w:rPr>
        <w:t>2</w:t>
      </w:r>
      <w:r>
        <w:rPr>
          <w:rFonts w:ascii="Arial" w:hAnsi="Arial"/>
          <w:sz w:val="20"/>
          <w:szCs w:val="28"/>
        </w:rPr>
        <w:t>,</w:t>
      </w:r>
      <w:r>
        <w:rPr>
          <w:rFonts w:ascii="Arial" w:hAnsi="Arial"/>
          <w:sz w:val="20"/>
          <w:szCs w:val="28"/>
          <w:vertAlign w:val="superscript"/>
        </w:rPr>
        <w:t xml:space="preserve"> </w:t>
      </w:r>
      <w:bookmarkEnd w:id="4"/>
      <w:bookmarkEnd w:id="5"/>
      <w:r>
        <w:rPr>
          <w:rFonts w:ascii="Arial" w:hAnsi="Arial"/>
          <w:sz w:val="20"/>
          <w:szCs w:val="28"/>
        </w:rPr>
        <w:t xml:space="preserve"> pozemek parcelu KN č. 596/3 – ostatní plocha, jiná plocha o výměře 145 m</w:t>
      </w:r>
      <w:r>
        <w:rPr>
          <w:rFonts w:ascii="Arial" w:hAnsi="Arial"/>
          <w:sz w:val="20"/>
          <w:szCs w:val="28"/>
          <w:vertAlign w:val="superscript"/>
        </w:rPr>
        <w:t>2</w:t>
      </w:r>
      <w:r>
        <w:rPr>
          <w:rFonts w:ascii="Arial" w:hAnsi="Arial"/>
          <w:sz w:val="20"/>
          <w:szCs w:val="28"/>
        </w:rPr>
        <w:t>, pozemek parcelu KN č. 599/2 – ostatní plocha, jiná plocha o výměře 689 m</w:t>
      </w:r>
      <w:r>
        <w:rPr>
          <w:rFonts w:ascii="Arial" w:hAnsi="Arial"/>
          <w:sz w:val="20"/>
          <w:szCs w:val="28"/>
          <w:vertAlign w:val="superscript"/>
        </w:rPr>
        <w:t>2</w:t>
      </w:r>
      <w:r>
        <w:rPr>
          <w:rFonts w:ascii="Arial" w:hAnsi="Arial"/>
          <w:sz w:val="20"/>
          <w:szCs w:val="28"/>
        </w:rPr>
        <w:t>, pozemek parcelu KN č. 595 – ostatní plocha, jiná plocha o výměře 811 m</w:t>
      </w:r>
      <w:r>
        <w:rPr>
          <w:rFonts w:ascii="Arial" w:hAnsi="Arial"/>
          <w:sz w:val="20"/>
          <w:szCs w:val="28"/>
          <w:vertAlign w:val="superscript"/>
        </w:rPr>
        <w:t>2</w:t>
      </w:r>
      <w:r>
        <w:rPr>
          <w:rFonts w:ascii="Arial" w:hAnsi="Arial"/>
          <w:sz w:val="20"/>
          <w:szCs w:val="28"/>
        </w:rPr>
        <w:t xml:space="preserve"> a pozemek parcelu KN č. 594/4 – ostatní plocha, jiná plocha o výměře 416 m</w:t>
      </w:r>
      <w:r>
        <w:rPr>
          <w:rFonts w:ascii="Arial" w:hAnsi="Arial"/>
          <w:sz w:val="20"/>
          <w:szCs w:val="28"/>
          <w:vertAlign w:val="superscript"/>
        </w:rPr>
        <w:t>2</w:t>
      </w:r>
      <w:r>
        <w:rPr>
          <w:rFonts w:ascii="Arial" w:hAnsi="Arial"/>
          <w:sz w:val="20"/>
          <w:szCs w:val="28"/>
        </w:rPr>
        <w:t>.</w:t>
      </w:r>
    </w:p>
    <w:p w14:paraId="494C0678" w14:textId="77777777" w:rsidR="005D745A" w:rsidRDefault="005D745A" w:rsidP="00A33BDF">
      <w:pPr>
        <w:jc w:val="both"/>
        <w:rPr>
          <w:rFonts w:ascii="Arial" w:hAnsi="Arial" w:cs="Arial"/>
          <w:color w:val="FF0000"/>
          <w:sz w:val="20"/>
          <w:szCs w:val="28"/>
        </w:rPr>
      </w:pPr>
    </w:p>
    <w:p w14:paraId="04A10024" w14:textId="77777777" w:rsidR="005D745A" w:rsidRDefault="005D745A" w:rsidP="00A33BDF">
      <w:pPr>
        <w:jc w:val="both"/>
        <w:rPr>
          <w:rFonts w:ascii="Arial" w:hAnsi="Arial" w:cs="Arial"/>
          <w:sz w:val="20"/>
          <w:szCs w:val="28"/>
        </w:rPr>
      </w:pPr>
      <w:r>
        <w:rPr>
          <w:rFonts w:ascii="Arial" w:hAnsi="Arial" w:cs="Arial"/>
          <w:sz w:val="20"/>
          <w:szCs w:val="28"/>
        </w:rPr>
        <w:t>Jihočeský kraj je vlastníkem sousedního objektu vedle „Staré radnice“, který má svěřen k hospodaření Střední odborná škola ekologická a potravinářská, Veselí nad Lužnicí, Blatské sídliště 600/I (dále jen „SOŠEP“). SOŠEP nabízí zájemcům maturitní obory Přírodovědné lyceum, Ekologie a životní prostředí, Analýza potravin a Technologie potravin. Od roku 2011 SOŠEP provozuje vlastní minipivovar sloužící pro praktickou výuku žáků. Školu navštěvuje ve školním roce 2023/2024 celkem 267 žáků.</w:t>
      </w:r>
    </w:p>
    <w:p w14:paraId="2F8F10B0" w14:textId="77777777" w:rsidR="005D745A" w:rsidRDefault="005D745A" w:rsidP="00A33BDF">
      <w:pPr>
        <w:jc w:val="both"/>
        <w:rPr>
          <w:rFonts w:ascii="Arial" w:hAnsi="Arial" w:cs="Arial"/>
          <w:sz w:val="20"/>
          <w:szCs w:val="28"/>
        </w:rPr>
      </w:pPr>
      <w:r>
        <w:rPr>
          <w:rFonts w:ascii="Arial" w:hAnsi="Arial" w:cs="Arial"/>
          <w:sz w:val="20"/>
          <w:szCs w:val="28"/>
        </w:rPr>
        <w:t>Jihočeský kraj dále provozuje na území města Veselí nad Lužnicí další dvě školské organizace – Dům dětí a mládeže Tábor, pobočka Veselí nad Lužnicí (dále jen „DDM“) a Střední škola řemeslná a základní škola Soběslav, pobočka Veselí nad Lužnicí (dále jen „Praktická škola“). K poskytování služeb využívají DDM a Praktická škola městem pronajaté budovy u městských škol.</w:t>
      </w:r>
    </w:p>
    <w:p w14:paraId="1E7FFED7" w14:textId="77777777" w:rsidR="005D745A" w:rsidRDefault="005D745A" w:rsidP="00A33BDF">
      <w:pPr>
        <w:jc w:val="both"/>
        <w:rPr>
          <w:rFonts w:ascii="Arial" w:hAnsi="Arial" w:cs="Arial"/>
          <w:sz w:val="20"/>
          <w:szCs w:val="28"/>
        </w:rPr>
      </w:pPr>
    </w:p>
    <w:p w14:paraId="2F603BD9" w14:textId="77777777" w:rsidR="005D745A" w:rsidRDefault="005D745A" w:rsidP="00A33BDF">
      <w:pPr>
        <w:jc w:val="both"/>
        <w:rPr>
          <w:rFonts w:ascii="Arial" w:hAnsi="Arial" w:cs="Arial"/>
          <w:sz w:val="20"/>
          <w:szCs w:val="28"/>
        </w:rPr>
      </w:pPr>
      <w:r>
        <w:rPr>
          <w:rFonts w:ascii="Arial" w:hAnsi="Arial" w:cs="Arial"/>
          <w:sz w:val="20"/>
          <w:szCs w:val="28"/>
        </w:rPr>
        <w:t xml:space="preserve">Záměrem města je řešit nedostatek míst v mateřských školách. Má proto v úmyslu uvolnit objekt nyní využívaný DDM (bývalý objekt MŠ) a vrátit ho jeho původnímu účelu. Z pohledu města je tedy potřeba nalézt jiné prostory pro činnost DDM, zde se nabízí právě objekt „Staré radnice“. </w:t>
      </w:r>
    </w:p>
    <w:p w14:paraId="19E4C116" w14:textId="77777777" w:rsidR="005D745A" w:rsidRDefault="005D745A" w:rsidP="00A33BDF">
      <w:pPr>
        <w:jc w:val="both"/>
        <w:rPr>
          <w:rFonts w:ascii="Arial" w:hAnsi="Arial" w:cs="Arial"/>
          <w:sz w:val="20"/>
          <w:szCs w:val="28"/>
        </w:rPr>
      </w:pPr>
      <w:r>
        <w:rPr>
          <w:rFonts w:ascii="Arial" w:hAnsi="Arial" w:cs="Arial"/>
          <w:sz w:val="20"/>
          <w:szCs w:val="28"/>
        </w:rPr>
        <w:t>Město plánuje po rekonstrukci objektu „Staré radnice“ jej používat částečně na reprezentativní účely a slavnostní akce, avšak pro celý poměrně rozsáhlý objekt nemá využití. Objekt je v těsném sousedství střední školy, nabízí se tedy využití i pro krajskou SOŠEP a též pro elokované pracoviště DDM Tábor.</w:t>
      </w:r>
    </w:p>
    <w:p w14:paraId="77D026E1" w14:textId="77777777" w:rsidR="005D745A" w:rsidRDefault="005D745A" w:rsidP="00A33BDF">
      <w:pPr>
        <w:jc w:val="both"/>
        <w:rPr>
          <w:rFonts w:ascii="Arial" w:hAnsi="Arial" w:cs="Arial"/>
          <w:sz w:val="20"/>
          <w:szCs w:val="28"/>
        </w:rPr>
      </w:pPr>
    </w:p>
    <w:p w14:paraId="0770874B" w14:textId="77777777" w:rsidR="005D745A" w:rsidRDefault="005D745A" w:rsidP="00A33BDF">
      <w:pPr>
        <w:jc w:val="both"/>
        <w:rPr>
          <w:rFonts w:ascii="Arial" w:hAnsi="Arial" w:cs="Arial"/>
          <w:i/>
          <w:iCs/>
          <w:sz w:val="20"/>
          <w:szCs w:val="28"/>
        </w:rPr>
      </w:pPr>
      <w:r>
        <w:rPr>
          <w:rFonts w:ascii="Arial" w:hAnsi="Arial" w:cs="Arial"/>
          <w:i/>
          <w:iCs/>
          <w:sz w:val="20"/>
          <w:szCs w:val="28"/>
        </w:rPr>
        <w:t>Studie proveditelnosti</w:t>
      </w:r>
    </w:p>
    <w:p w14:paraId="0302FDF9" w14:textId="77777777" w:rsidR="005D745A" w:rsidRDefault="005D745A" w:rsidP="00A33BDF">
      <w:pPr>
        <w:jc w:val="both"/>
        <w:rPr>
          <w:rFonts w:ascii="Arial" w:hAnsi="Arial" w:cs="Arial"/>
          <w:sz w:val="20"/>
          <w:szCs w:val="28"/>
        </w:rPr>
      </w:pPr>
      <w:r>
        <w:rPr>
          <w:rFonts w:ascii="Arial" w:hAnsi="Arial" w:cs="Arial"/>
          <w:sz w:val="20"/>
          <w:szCs w:val="28"/>
        </w:rPr>
        <w:t xml:space="preserve">V lednu 2023 oslovili zástupci města Jihočeský kraj s návrhem spolupráce při využití objektu „Staré radnice“. Porada vedení kraje projednala dne 27. 2. 2023 záměr města a souhlasila se zpracováním studie proveditelnosti v gesci města (finančně zajišťuje město) pro rekonstrukci objektu se zakomponováním požadavků SOŠEP a DDM. </w:t>
      </w:r>
    </w:p>
    <w:p w14:paraId="24D5F600" w14:textId="77777777" w:rsidR="005D745A" w:rsidRDefault="005D745A" w:rsidP="00A33BDF">
      <w:pPr>
        <w:jc w:val="both"/>
        <w:rPr>
          <w:rFonts w:ascii="Arial" w:hAnsi="Arial" w:cs="Arial"/>
          <w:sz w:val="20"/>
          <w:szCs w:val="28"/>
        </w:rPr>
      </w:pPr>
    </w:p>
    <w:p w14:paraId="3F4B2EDA" w14:textId="77777777" w:rsidR="005D745A" w:rsidRDefault="005D745A" w:rsidP="00A33BDF">
      <w:pPr>
        <w:jc w:val="both"/>
        <w:rPr>
          <w:rFonts w:ascii="Arial" w:hAnsi="Arial" w:cs="Arial"/>
          <w:sz w:val="20"/>
          <w:szCs w:val="28"/>
        </w:rPr>
      </w:pPr>
      <w:r>
        <w:rPr>
          <w:rFonts w:ascii="Arial" w:hAnsi="Arial" w:cs="Arial"/>
          <w:sz w:val="20"/>
          <w:szCs w:val="28"/>
        </w:rPr>
        <w:t>Studie proveditelnosti měla prověřit technické, provozní i prostorové využití objektu „Staré radnice“ k účelům města, SOŠEP i DDM. Ve studii se podařilo naplnit požadavky SOŠEP i DDM, navrhuje propojení objektů „Staré radnice“ se SOŠEP. Studie byla zpracována na konci roku 2023 a jsou do ní zapracovány i další požadavky za dohledu OREG. Studii proveditelnosti zhotovila společnost Ogiva eu s.r.o. a splňuje také požadavky památkové ochrany budovy (souhlasné vyjádření NPÚ).</w:t>
      </w:r>
    </w:p>
    <w:p w14:paraId="42512B4D" w14:textId="77777777" w:rsidR="005D745A" w:rsidRDefault="005D745A" w:rsidP="00A33BDF">
      <w:pPr>
        <w:jc w:val="both"/>
        <w:rPr>
          <w:rFonts w:ascii="Arial" w:hAnsi="Arial" w:cs="Arial"/>
          <w:sz w:val="20"/>
          <w:szCs w:val="28"/>
        </w:rPr>
      </w:pPr>
    </w:p>
    <w:p w14:paraId="3EF6F51A" w14:textId="77777777" w:rsidR="005D745A" w:rsidRDefault="005D745A" w:rsidP="00A33BDF">
      <w:pPr>
        <w:jc w:val="both"/>
        <w:rPr>
          <w:rFonts w:ascii="Arial" w:hAnsi="Arial" w:cs="Arial"/>
          <w:sz w:val="20"/>
          <w:szCs w:val="28"/>
        </w:rPr>
      </w:pPr>
      <w:r>
        <w:rPr>
          <w:rFonts w:ascii="Arial" w:hAnsi="Arial" w:cs="Arial"/>
          <w:sz w:val="20"/>
          <w:szCs w:val="28"/>
        </w:rPr>
        <w:t>Objekt je rozdělen v navrhovaném stavu na 4 různé prostory: sdílená vstupní část, město, SOŠEP a DDM; Bližší popis včetně barevně zvýrazněných prostor je uveden v příloze č. 2 tohoto návrhu. Vstupní část je propojena s náměstím, jedná se o veřejně přístupný prostor. Prostory města jsou vyhrazeny pro návštěvníky – v levé části pro Informační centrum, v pravé části je navržena kavárna navazující na prostor sálu.</w:t>
      </w:r>
    </w:p>
    <w:p w14:paraId="2325AEE7" w14:textId="77777777" w:rsidR="005D745A" w:rsidRDefault="005D745A" w:rsidP="00A33BDF">
      <w:pPr>
        <w:jc w:val="both"/>
        <w:rPr>
          <w:rFonts w:ascii="Arial" w:hAnsi="Arial" w:cs="Arial"/>
          <w:sz w:val="20"/>
          <w:szCs w:val="28"/>
        </w:rPr>
      </w:pPr>
    </w:p>
    <w:p w14:paraId="77B3A031" w14:textId="77777777" w:rsidR="005D745A" w:rsidRDefault="005D745A" w:rsidP="00A33BDF">
      <w:pPr>
        <w:jc w:val="both"/>
        <w:rPr>
          <w:rFonts w:ascii="Arial" w:hAnsi="Arial" w:cs="Arial"/>
          <w:sz w:val="20"/>
          <w:szCs w:val="28"/>
        </w:rPr>
      </w:pPr>
      <w:r>
        <w:rPr>
          <w:rFonts w:ascii="Arial" w:hAnsi="Arial" w:cs="Arial"/>
          <w:sz w:val="20"/>
          <w:szCs w:val="28"/>
        </w:rPr>
        <w:t>Provoz DDM je navržen tak, aby byla zajištěna kontrola přístupu osob, vstupní chodba ve 2.NP umožňuje přístup do jednotlivých kluboven a do podkroví. Součástí jsou i kanceláře a sociální zařízení. V podkroví je navržen sál pro pohybové aktivity a sklady pro drobný materiál.</w:t>
      </w:r>
    </w:p>
    <w:p w14:paraId="4115748F" w14:textId="77777777" w:rsidR="005D745A" w:rsidRDefault="005D745A" w:rsidP="00A33BDF">
      <w:pPr>
        <w:jc w:val="both"/>
        <w:rPr>
          <w:rFonts w:ascii="Arial" w:hAnsi="Arial" w:cs="Arial"/>
          <w:sz w:val="20"/>
          <w:szCs w:val="28"/>
        </w:rPr>
      </w:pPr>
    </w:p>
    <w:p w14:paraId="6F25560E" w14:textId="77777777" w:rsidR="005D745A" w:rsidRDefault="005D745A" w:rsidP="00A33BDF">
      <w:pPr>
        <w:jc w:val="both"/>
        <w:rPr>
          <w:rFonts w:ascii="Arial" w:hAnsi="Arial" w:cs="Arial"/>
          <w:sz w:val="20"/>
          <w:szCs w:val="28"/>
        </w:rPr>
      </w:pPr>
      <w:r>
        <w:rPr>
          <w:rFonts w:ascii="Arial" w:hAnsi="Arial" w:cs="Arial"/>
          <w:sz w:val="20"/>
          <w:szCs w:val="28"/>
        </w:rPr>
        <w:t>Studie prověřila i možnost rozšíření ubytovacích kapacit SOŠEP, které však není možné zajistit při zachování památkové ochrany (SOŠEP zpracovává vlastní projekt na přístavbu DM v severní části objektu školy ve vlastnictví kraje). Pro SOŠEP je určena severní část areálu „Staré radnice“ v 1.NP i 2.NP, navržena je spojovací chodba, která by zajistila samostatný přístup ze školy. Technologie školního pivovaru může být umístěna v esteticky zajímavých klenutých prostorách původního pivovaru, je možný i přímý přístup z nádvoří přes pivovarskou věž. Ve 2.NP bude umístěna knihovna se studovnou. V pivovarské věži jsou v jednotlivých patrech navrženy sklady pivovaru, kabinety a zázemí pro učitele.</w:t>
      </w:r>
    </w:p>
    <w:p w14:paraId="06635B90" w14:textId="77777777" w:rsidR="005D745A" w:rsidRDefault="005D745A" w:rsidP="00A33BDF">
      <w:pPr>
        <w:jc w:val="both"/>
        <w:rPr>
          <w:rFonts w:ascii="Arial" w:hAnsi="Arial" w:cs="Arial"/>
          <w:sz w:val="20"/>
          <w:szCs w:val="28"/>
        </w:rPr>
      </w:pPr>
    </w:p>
    <w:p w14:paraId="2CBC5C2F" w14:textId="77777777" w:rsidR="005D745A" w:rsidRDefault="005D745A" w:rsidP="00A33BDF">
      <w:pPr>
        <w:jc w:val="both"/>
        <w:rPr>
          <w:rFonts w:ascii="Arial" w:hAnsi="Arial" w:cs="Arial"/>
          <w:sz w:val="20"/>
          <w:szCs w:val="28"/>
        </w:rPr>
      </w:pPr>
      <w:r>
        <w:rPr>
          <w:rFonts w:ascii="Arial" w:hAnsi="Arial" w:cs="Arial"/>
          <w:sz w:val="20"/>
          <w:szCs w:val="28"/>
        </w:rPr>
        <w:t>Celková podlahová plocha činí 1.942 m</w:t>
      </w:r>
      <w:r w:rsidRPr="00FE003A">
        <w:rPr>
          <w:rFonts w:ascii="Arial" w:hAnsi="Arial" w:cs="Arial"/>
          <w:sz w:val="20"/>
          <w:szCs w:val="28"/>
          <w:vertAlign w:val="superscript"/>
        </w:rPr>
        <w:t>2</w:t>
      </w:r>
      <w:r>
        <w:rPr>
          <w:rFonts w:ascii="Arial" w:hAnsi="Arial" w:cs="Arial"/>
          <w:sz w:val="20"/>
          <w:szCs w:val="28"/>
        </w:rPr>
        <w:t>, celkový obestavěný prostor bude činit 11 tis. m</w:t>
      </w:r>
      <w:r>
        <w:rPr>
          <w:rFonts w:ascii="Arial" w:hAnsi="Arial" w:cs="Arial"/>
          <w:sz w:val="20"/>
          <w:szCs w:val="28"/>
          <w:vertAlign w:val="superscript"/>
        </w:rPr>
        <w:t>3</w:t>
      </w:r>
      <w:r>
        <w:rPr>
          <w:rFonts w:ascii="Arial" w:hAnsi="Arial" w:cs="Arial"/>
          <w:sz w:val="20"/>
          <w:szCs w:val="28"/>
        </w:rPr>
        <w:t>. Podíl prostor města činí 22 % podlahové plochy (30 % obestavěného prostoru) a cca 6 % na sdílených vstupních prostorech.</w:t>
      </w:r>
    </w:p>
    <w:p w14:paraId="51294BBE" w14:textId="77777777" w:rsidR="005D745A" w:rsidRDefault="005D745A" w:rsidP="00A33BDF">
      <w:pPr>
        <w:jc w:val="both"/>
        <w:rPr>
          <w:rFonts w:ascii="Arial" w:hAnsi="Arial" w:cs="Arial"/>
          <w:sz w:val="20"/>
          <w:szCs w:val="28"/>
        </w:rPr>
      </w:pPr>
    </w:p>
    <w:p w14:paraId="384B9B9B" w14:textId="77777777" w:rsidR="005D745A" w:rsidRDefault="005D745A" w:rsidP="00A33BDF">
      <w:pPr>
        <w:jc w:val="both"/>
        <w:rPr>
          <w:rFonts w:ascii="Arial" w:hAnsi="Arial" w:cs="Arial"/>
          <w:i/>
          <w:iCs/>
          <w:sz w:val="20"/>
          <w:szCs w:val="28"/>
        </w:rPr>
      </w:pPr>
      <w:r>
        <w:rPr>
          <w:rFonts w:ascii="Arial" w:hAnsi="Arial" w:cs="Arial"/>
          <w:i/>
          <w:iCs/>
          <w:sz w:val="20"/>
          <w:szCs w:val="28"/>
        </w:rPr>
        <w:t>Smlouva o spolupráci a smlouva darovací</w:t>
      </w:r>
    </w:p>
    <w:p w14:paraId="479D4C25" w14:textId="77777777" w:rsidR="005D745A" w:rsidRDefault="005D745A" w:rsidP="00A33BDF">
      <w:pPr>
        <w:jc w:val="both"/>
        <w:rPr>
          <w:rFonts w:ascii="Arial" w:hAnsi="Arial" w:cs="Arial"/>
          <w:sz w:val="20"/>
          <w:szCs w:val="28"/>
        </w:rPr>
      </w:pPr>
      <w:r>
        <w:rPr>
          <w:rFonts w:ascii="Arial" w:hAnsi="Arial" w:cs="Arial"/>
          <w:sz w:val="20"/>
          <w:szCs w:val="28"/>
        </w:rPr>
        <w:t xml:space="preserve">Dne 16. 5. 2023 proběhlo jednání u hejtmana kraje za účasti zástupců města Veselí nad Lužnicí, náměstků pro finance a ekonomiku Ing. Hajduška a pro školství Mgr. Klímy, zástupců KRED, OŠMT a OHMS. </w:t>
      </w:r>
    </w:p>
    <w:p w14:paraId="787F022D" w14:textId="77777777" w:rsidR="005D745A" w:rsidRDefault="005D745A" w:rsidP="00A33BDF">
      <w:pPr>
        <w:jc w:val="both"/>
        <w:rPr>
          <w:rFonts w:ascii="Arial" w:hAnsi="Arial" w:cs="Arial"/>
          <w:sz w:val="20"/>
          <w:szCs w:val="28"/>
        </w:rPr>
      </w:pPr>
      <w:r>
        <w:rPr>
          <w:rFonts w:ascii="Arial" w:hAnsi="Arial" w:cs="Arial"/>
          <w:sz w:val="20"/>
          <w:szCs w:val="28"/>
        </w:rPr>
        <w:t>Na schůzce byl dohodnut základní rámec Smlouvy o spolupráci a smlouvy darovací mezi městem a krajem, který akceptuje navržené řešení ve studii proveditelnosti. Obě strany se dohodly, že dojde ke geometrickému oddělení objektu „Staré radnice“ včetně příslušného pozemku (od okolních pozemků, které budou ponechány ve vlastnictví města) a k následnému převodu tohoto majetku do vlastnictví kraje. Kraj se zároveň zaváže rekonstruovat objekt „Staré radnice“ nejpozději do 5 let. Finanční podíl na nákladech rekonstrukce bude pro město stanoven 30% podílem a maximální částkou; městu bude započítán do jeho podílu náklad ve výši odpovídající výdajům na odkup „Staré radnice“ a výdajům na zhotovení studie proveditelnosti.</w:t>
      </w:r>
    </w:p>
    <w:p w14:paraId="3B837747" w14:textId="77777777" w:rsidR="005D745A" w:rsidRDefault="005D745A" w:rsidP="00A33BDF">
      <w:pPr>
        <w:jc w:val="both"/>
        <w:rPr>
          <w:rFonts w:ascii="Arial" w:hAnsi="Arial" w:cs="Arial"/>
          <w:sz w:val="20"/>
          <w:szCs w:val="28"/>
        </w:rPr>
      </w:pPr>
      <w:r>
        <w:rPr>
          <w:rFonts w:ascii="Arial" w:hAnsi="Arial" w:cs="Arial"/>
          <w:sz w:val="20"/>
          <w:szCs w:val="28"/>
        </w:rPr>
        <w:t>Součástí smluvních podmínek bude také zpětný převod městu při neprovedení rekonstrukce a možnost přednostního odkupu v případě prodeje objektu krajem v budoucnu.</w:t>
      </w:r>
    </w:p>
    <w:p w14:paraId="3D83AD3E" w14:textId="77777777" w:rsidR="005D745A" w:rsidRDefault="005D745A" w:rsidP="004D7BF3">
      <w:pPr>
        <w:keepNext/>
        <w:spacing w:before="120"/>
        <w:jc w:val="both"/>
        <w:rPr>
          <w:rFonts w:ascii="Arial" w:hAnsi="Arial" w:cs="Arial"/>
          <w:sz w:val="20"/>
          <w:szCs w:val="28"/>
        </w:rPr>
      </w:pPr>
      <w:r>
        <w:rPr>
          <w:rFonts w:ascii="Arial" w:hAnsi="Arial" w:cs="Arial"/>
          <w:sz w:val="20"/>
          <w:szCs w:val="28"/>
        </w:rPr>
        <w:t>Návrh smlouvy (příloha č. 1) obsahuje následující konkrétní ujednání:</w:t>
      </w:r>
    </w:p>
    <w:p w14:paraId="7F9A042D" w14:textId="77777777" w:rsidR="005D745A" w:rsidRDefault="005D745A" w:rsidP="00A33BDF">
      <w:pPr>
        <w:numPr>
          <w:ilvl w:val="0"/>
          <w:numId w:val="11"/>
        </w:numPr>
        <w:jc w:val="both"/>
        <w:rPr>
          <w:rFonts w:ascii="Arial" w:hAnsi="Arial" w:cs="Arial"/>
          <w:sz w:val="20"/>
          <w:szCs w:val="28"/>
        </w:rPr>
      </w:pPr>
      <w:r>
        <w:rPr>
          <w:rFonts w:ascii="Arial" w:hAnsi="Arial" w:cs="Arial"/>
          <w:sz w:val="20"/>
          <w:szCs w:val="28"/>
        </w:rPr>
        <w:t>celkové předpokládané náklady akce 90 mil. Kč bez DPH, tj. 108,9 mil. Kč s DPH (na základě studie proveditelnosti)</w:t>
      </w:r>
    </w:p>
    <w:p w14:paraId="529F3EB0" w14:textId="77777777" w:rsidR="005D745A" w:rsidRDefault="005D745A" w:rsidP="00A33BDF">
      <w:pPr>
        <w:numPr>
          <w:ilvl w:val="0"/>
          <w:numId w:val="11"/>
        </w:numPr>
        <w:jc w:val="both"/>
        <w:rPr>
          <w:rFonts w:ascii="Arial" w:hAnsi="Arial" w:cs="Arial"/>
          <w:sz w:val="20"/>
          <w:szCs w:val="28"/>
        </w:rPr>
      </w:pPr>
      <w:r>
        <w:rPr>
          <w:rFonts w:ascii="Arial" w:hAnsi="Arial" w:cs="Arial"/>
          <w:sz w:val="20"/>
          <w:szCs w:val="28"/>
        </w:rPr>
        <w:t>darování objektu „Staré radnice“ a příslušného pozemku kraji v hodnotě předchozího odkupu městem</w:t>
      </w:r>
    </w:p>
    <w:p w14:paraId="4234C805" w14:textId="77777777" w:rsidR="005D745A" w:rsidRDefault="005D745A" w:rsidP="00A33BDF">
      <w:pPr>
        <w:numPr>
          <w:ilvl w:val="0"/>
          <w:numId w:val="11"/>
        </w:numPr>
        <w:jc w:val="both"/>
        <w:rPr>
          <w:rFonts w:ascii="Arial" w:hAnsi="Arial" w:cs="Arial"/>
          <w:sz w:val="20"/>
          <w:szCs w:val="28"/>
        </w:rPr>
      </w:pPr>
      <w:r>
        <w:rPr>
          <w:rFonts w:ascii="Arial" w:hAnsi="Arial" w:cs="Arial"/>
          <w:sz w:val="20"/>
          <w:szCs w:val="28"/>
        </w:rPr>
        <w:t>podíl města: 30 %, max. 35 mil. Kč; do podílu započítán výdaj na odkup objektu „Staré radnice“ v minulosti (14 256 119 Kč) a dále výdaj na zhotovení studie proveditelnosti a související výdaje (868 929 Kč), zbylá částka bude hrazena ve čtyřech ročních splátkách (v případě celkových nákladů ve výši 108,9 mil. Kč bude zbylý podíl města činit celkem 17 544 951,90 Kč, tj. 4 386 237,98 Kč ročně)</w:t>
      </w:r>
    </w:p>
    <w:p w14:paraId="7DEA38BC" w14:textId="77777777" w:rsidR="005D745A" w:rsidRDefault="005D745A" w:rsidP="00A33BDF">
      <w:pPr>
        <w:numPr>
          <w:ilvl w:val="0"/>
          <w:numId w:val="11"/>
        </w:numPr>
        <w:jc w:val="both"/>
        <w:rPr>
          <w:rFonts w:ascii="Arial" w:hAnsi="Arial" w:cs="Arial"/>
          <w:sz w:val="20"/>
          <w:szCs w:val="28"/>
        </w:rPr>
      </w:pPr>
      <w:r>
        <w:rPr>
          <w:rFonts w:ascii="Arial" w:hAnsi="Arial" w:cs="Arial"/>
          <w:sz w:val="20"/>
          <w:szCs w:val="28"/>
        </w:rPr>
        <w:t>součástí smlouvy je doba trvání věcného břemene na užívání příslušných prostor městem do roku 2059 (35 let od podpisu smlouvy), toto ustanovení se promítne do katastru nemovitostí; délka věcného břemene vychází z výše nájemného v městských budovách a z výše podílu města na nákladech rekonstrukce</w:t>
      </w:r>
    </w:p>
    <w:p w14:paraId="1D8F8B18" w14:textId="77777777" w:rsidR="005D745A" w:rsidRDefault="005D745A" w:rsidP="00A33BDF">
      <w:pPr>
        <w:numPr>
          <w:ilvl w:val="0"/>
          <w:numId w:val="11"/>
        </w:numPr>
        <w:jc w:val="both"/>
        <w:rPr>
          <w:rFonts w:ascii="Arial" w:hAnsi="Arial" w:cs="Arial"/>
          <w:sz w:val="20"/>
          <w:szCs w:val="28"/>
        </w:rPr>
      </w:pPr>
      <w:r>
        <w:rPr>
          <w:rFonts w:ascii="Arial" w:hAnsi="Arial" w:cs="Arial"/>
          <w:sz w:val="20"/>
          <w:szCs w:val="28"/>
        </w:rPr>
        <w:t>možnost zpětného vrácení objektu „Staré radnice“ městu, pokud by nedošlo k realizaci záměru do roku 2029</w:t>
      </w:r>
    </w:p>
    <w:p w14:paraId="26D7E8DE" w14:textId="77777777" w:rsidR="005D745A" w:rsidRDefault="005D745A" w:rsidP="00A33BDF">
      <w:pPr>
        <w:numPr>
          <w:ilvl w:val="0"/>
          <w:numId w:val="11"/>
        </w:numPr>
        <w:jc w:val="both"/>
        <w:rPr>
          <w:rFonts w:ascii="Arial" w:hAnsi="Arial" w:cs="Arial"/>
          <w:sz w:val="20"/>
          <w:szCs w:val="28"/>
        </w:rPr>
      </w:pPr>
      <w:r>
        <w:rPr>
          <w:rFonts w:ascii="Arial" w:hAnsi="Arial" w:cs="Arial"/>
          <w:sz w:val="20"/>
          <w:szCs w:val="28"/>
        </w:rPr>
        <w:t>předkupní právo pro město na odkup (rekonstruovaného) objektu „Staré radnice“ za cenu v čase a místě obvyklou se započtením podílu města se snížením o 1/35 za každý neodbydlený rok služebnosti</w:t>
      </w:r>
    </w:p>
    <w:p w14:paraId="440D5B9F" w14:textId="77777777" w:rsidR="005D745A" w:rsidRDefault="005D745A" w:rsidP="00A33BDF">
      <w:pPr>
        <w:numPr>
          <w:ilvl w:val="0"/>
          <w:numId w:val="11"/>
        </w:numPr>
        <w:jc w:val="both"/>
        <w:rPr>
          <w:rFonts w:ascii="Arial" w:hAnsi="Arial" w:cs="Arial"/>
          <w:sz w:val="20"/>
          <w:szCs w:val="28"/>
        </w:rPr>
      </w:pPr>
      <w:r>
        <w:rPr>
          <w:rFonts w:ascii="Arial" w:hAnsi="Arial" w:cs="Arial"/>
          <w:sz w:val="20"/>
          <w:szCs w:val="28"/>
        </w:rPr>
        <w:t>zákaz prodeje darovaného objektu po dobu 10 let od uzavření smlouvy</w:t>
      </w:r>
    </w:p>
    <w:p w14:paraId="4F80CDD5" w14:textId="77777777" w:rsidR="005D745A" w:rsidRDefault="005D745A" w:rsidP="00A33BDF">
      <w:pPr>
        <w:jc w:val="both"/>
        <w:rPr>
          <w:rFonts w:ascii="Arial" w:hAnsi="Arial" w:cs="Arial"/>
          <w:sz w:val="20"/>
          <w:szCs w:val="28"/>
        </w:rPr>
      </w:pPr>
      <w:r>
        <w:rPr>
          <w:rFonts w:ascii="Arial" w:hAnsi="Arial" w:cs="Arial"/>
          <w:sz w:val="20"/>
          <w:szCs w:val="28"/>
        </w:rPr>
        <w:t>Do smluvních podmínek byla také zakomponována vzájemná věcná břemena při nakládání s objektem a při využití okolních pozemků.</w:t>
      </w:r>
    </w:p>
    <w:p w14:paraId="1B6553E0" w14:textId="77777777" w:rsidR="005D745A" w:rsidRDefault="005D745A" w:rsidP="00A33BDF">
      <w:pPr>
        <w:jc w:val="both"/>
        <w:rPr>
          <w:rFonts w:ascii="Arial" w:hAnsi="Arial" w:cs="Arial"/>
          <w:sz w:val="20"/>
          <w:szCs w:val="28"/>
        </w:rPr>
      </w:pPr>
    </w:p>
    <w:p w14:paraId="194F76A5" w14:textId="77777777" w:rsidR="005D745A" w:rsidRDefault="005D745A" w:rsidP="00A33BDF">
      <w:pPr>
        <w:jc w:val="both"/>
        <w:rPr>
          <w:rFonts w:ascii="Arial" w:hAnsi="Arial" w:cs="Arial"/>
          <w:sz w:val="20"/>
          <w:szCs w:val="28"/>
        </w:rPr>
      </w:pPr>
      <w:r>
        <w:rPr>
          <w:rFonts w:ascii="Arial" w:hAnsi="Arial" w:cs="Arial"/>
          <w:sz w:val="20"/>
          <w:szCs w:val="28"/>
        </w:rPr>
        <w:t>Návrh smlouvy odsouhlasený oběma smluvními stranami a za spolupráce s OHMS a OPZU je uveden v příloze č. 1., kompletní studie proveditelnosti (38 stran) je dostupná u náměstka Klímy. Příloha č. 2 obsahuje situaci objektu a navržené schéma využití objektu „Staré radnice“ na základě zpracované studie proveditelnosti.</w:t>
      </w:r>
    </w:p>
    <w:p w14:paraId="1887493F" w14:textId="77777777" w:rsidR="005D745A" w:rsidRDefault="005D745A" w:rsidP="004D7BF3">
      <w:pPr>
        <w:spacing w:before="120"/>
        <w:jc w:val="both"/>
        <w:rPr>
          <w:rFonts w:ascii="Arial" w:hAnsi="Arial" w:cs="Arial"/>
          <w:sz w:val="20"/>
          <w:szCs w:val="28"/>
        </w:rPr>
      </w:pPr>
      <w:r>
        <w:rPr>
          <w:rFonts w:ascii="Arial" w:hAnsi="Arial" w:cs="Arial"/>
          <w:sz w:val="20"/>
          <w:szCs w:val="28"/>
        </w:rPr>
        <w:t xml:space="preserve">Zastupitelstvo města Veselí nad Lužnicí schválilo uzavření </w:t>
      </w:r>
      <w:r>
        <w:rPr>
          <w:rFonts w:ascii="Arial" w:hAnsi="Arial"/>
          <w:sz w:val="20"/>
          <w:szCs w:val="28"/>
        </w:rPr>
        <w:t xml:space="preserve">Smlouvy o spolupráci a smlouvy darovací „Stará radnice ve Veselí nad Lužnicí“ </w:t>
      </w:r>
      <w:r>
        <w:rPr>
          <w:rFonts w:ascii="Arial" w:hAnsi="Arial" w:cs="Arial"/>
          <w:sz w:val="20"/>
          <w:szCs w:val="28"/>
        </w:rPr>
        <w:t>usnesením č. 226/11/24</w:t>
      </w:r>
      <w:r>
        <w:rPr>
          <w:rFonts w:ascii="Arial" w:hAnsi="Arial" w:cs="Arial"/>
          <w:color w:val="00B050"/>
          <w:sz w:val="20"/>
          <w:szCs w:val="28"/>
        </w:rPr>
        <w:t xml:space="preserve"> </w:t>
      </w:r>
      <w:r>
        <w:rPr>
          <w:rFonts w:ascii="Arial" w:hAnsi="Arial" w:cs="Arial"/>
          <w:sz w:val="20"/>
          <w:szCs w:val="28"/>
        </w:rPr>
        <w:t>ze dne 31. 7. 2024.</w:t>
      </w:r>
    </w:p>
    <w:p w14:paraId="1911BD4C" w14:textId="77777777" w:rsidR="005D745A" w:rsidRDefault="005D745A" w:rsidP="00A33BDF">
      <w:pPr>
        <w:jc w:val="both"/>
        <w:rPr>
          <w:rFonts w:ascii="Arial" w:hAnsi="Arial" w:cs="Arial"/>
          <w:sz w:val="20"/>
          <w:szCs w:val="28"/>
        </w:rPr>
      </w:pPr>
    </w:p>
    <w:p w14:paraId="5897C40E" w14:textId="77777777" w:rsidR="005D745A" w:rsidRDefault="005D745A" w:rsidP="00A33BDF">
      <w:pPr>
        <w:jc w:val="both"/>
        <w:rPr>
          <w:rFonts w:ascii="Arial" w:hAnsi="Arial" w:cs="Arial"/>
          <w:i/>
          <w:iCs/>
          <w:sz w:val="20"/>
          <w:szCs w:val="28"/>
        </w:rPr>
      </w:pPr>
      <w:r>
        <w:rPr>
          <w:rFonts w:ascii="Arial" w:hAnsi="Arial" w:cs="Arial"/>
          <w:i/>
          <w:iCs/>
          <w:sz w:val="20"/>
          <w:szCs w:val="28"/>
        </w:rPr>
        <w:t>Harmonogram dalších kroků v případě uzavření Smlouvy o spolupráci a smlouvy darovací:</w:t>
      </w:r>
    </w:p>
    <w:p w14:paraId="514936CF" w14:textId="77777777" w:rsidR="005D745A" w:rsidRDefault="005D745A" w:rsidP="00A33BDF">
      <w:pPr>
        <w:numPr>
          <w:ilvl w:val="0"/>
          <w:numId w:val="12"/>
        </w:numPr>
        <w:jc w:val="both"/>
        <w:rPr>
          <w:rFonts w:ascii="Arial" w:hAnsi="Arial" w:cs="Arial"/>
          <w:sz w:val="20"/>
          <w:szCs w:val="28"/>
        </w:rPr>
      </w:pPr>
      <w:r>
        <w:rPr>
          <w:rFonts w:ascii="Arial" w:hAnsi="Arial" w:cs="Arial"/>
          <w:sz w:val="20"/>
          <w:szCs w:val="28"/>
        </w:rPr>
        <w:t>4. Q 2024 – zápis změny vlastníka do KN a svěření práva k hospodaření objektu „Staré radnice“ pro SOŠEP</w:t>
      </w:r>
    </w:p>
    <w:p w14:paraId="00C8885B" w14:textId="77777777" w:rsidR="005D745A" w:rsidRDefault="005D745A" w:rsidP="00A33BDF">
      <w:pPr>
        <w:numPr>
          <w:ilvl w:val="0"/>
          <w:numId w:val="12"/>
        </w:numPr>
        <w:jc w:val="both"/>
        <w:rPr>
          <w:rFonts w:ascii="Arial" w:hAnsi="Arial" w:cs="Arial"/>
          <w:sz w:val="20"/>
          <w:szCs w:val="28"/>
        </w:rPr>
      </w:pPr>
      <w:r>
        <w:rPr>
          <w:rFonts w:ascii="Arial" w:hAnsi="Arial" w:cs="Arial"/>
          <w:sz w:val="20"/>
          <w:szCs w:val="28"/>
        </w:rPr>
        <w:t>1. Q 2025 – vyhlášení VZ na zhotovitele PD pro provedení stavby na základě studie proveditelnosti</w:t>
      </w:r>
    </w:p>
    <w:p w14:paraId="2823C6C7" w14:textId="77777777" w:rsidR="005D745A" w:rsidRDefault="005D745A" w:rsidP="00A33BDF">
      <w:pPr>
        <w:numPr>
          <w:ilvl w:val="0"/>
          <w:numId w:val="12"/>
        </w:numPr>
        <w:jc w:val="both"/>
        <w:rPr>
          <w:rFonts w:ascii="Arial" w:hAnsi="Arial" w:cs="Arial"/>
          <w:sz w:val="20"/>
          <w:szCs w:val="28"/>
        </w:rPr>
      </w:pPr>
      <w:r>
        <w:rPr>
          <w:rFonts w:ascii="Arial" w:hAnsi="Arial" w:cs="Arial"/>
          <w:sz w:val="20"/>
          <w:szCs w:val="28"/>
        </w:rPr>
        <w:t>3. Q 2025 – zhotovení PD pro provedení stavby (finanční částka ve FRŠ)</w:t>
      </w:r>
    </w:p>
    <w:p w14:paraId="7F8D9137" w14:textId="77777777" w:rsidR="005D745A" w:rsidRDefault="005D745A" w:rsidP="00A33BDF">
      <w:pPr>
        <w:numPr>
          <w:ilvl w:val="0"/>
          <w:numId w:val="12"/>
        </w:numPr>
        <w:jc w:val="both"/>
        <w:rPr>
          <w:rFonts w:ascii="Arial" w:hAnsi="Arial" w:cs="Arial"/>
          <w:sz w:val="20"/>
          <w:szCs w:val="28"/>
        </w:rPr>
      </w:pPr>
      <w:r>
        <w:rPr>
          <w:rFonts w:ascii="Arial" w:hAnsi="Arial" w:cs="Arial"/>
          <w:sz w:val="20"/>
          <w:szCs w:val="28"/>
        </w:rPr>
        <w:t>3. Q až 4. Q 2025 – VZ na zhotovitele stavby</w:t>
      </w:r>
    </w:p>
    <w:p w14:paraId="7508D6E9" w14:textId="77777777" w:rsidR="005D745A" w:rsidRDefault="005D745A" w:rsidP="00A33BDF">
      <w:pPr>
        <w:numPr>
          <w:ilvl w:val="0"/>
          <w:numId w:val="12"/>
        </w:numPr>
        <w:jc w:val="both"/>
        <w:rPr>
          <w:rFonts w:ascii="Arial" w:hAnsi="Arial" w:cs="Arial"/>
          <w:sz w:val="20"/>
          <w:szCs w:val="28"/>
        </w:rPr>
      </w:pPr>
      <w:r>
        <w:rPr>
          <w:rFonts w:ascii="Arial" w:hAnsi="Arial" w:cs="Arial"/>
          <w:sz w:val="20"/>
          <w:szCs w:val="28"/>
        </w:rPr>
        <w:t>2026–2027 – realizace stavby (potřeba finančních prostředků bude zahrnuta v návrhu SVR)</w:t>
      </w:r>
    </w:p>
    <w:p w14:paraId="6F29AED7" w14:textId="77777777" w:rsidR="005D745A" w:rsidRDefault="005D745A" w:rsidP="00AF600B">
      <w:pPr>
        <w:pStyle w:val="KUJKnormal"/>
      </w:pPr>
      <w:r>
        <w:t>Finanční nároky a krytí:</w:t>
      </w:r>
    </w:p>
    <w:p w14:paraId="2D25543C" w14:textId="77777777" w:rsidR="005D745A" w:rsidRDefault="005D745A" w:rsidP="00AF600B">
      <w:pPr>
        <w:pStyle w:val="KUJKnormal"/>
      </w:pPr>
      <w:r w:rsidRPr="00A33BDF">
        <w:t>Projektová dokumentace je předpokládaná ve výši 6 mil. Kč včetně DPH (rok 2025, součást návrhu rozpočtu FRŠ); Realizace je předpokládána v letech 2026-2027 ve výši 108,9 mil. Kč včetně DPH (součást návrhu SVR); Příjem do rozpočtu kraje v letech 2028-2031 (předpokládaná výše 4 386 237,98 Kč ročně); Správní poplatky spojené se vkladem všech práv do katastru nemovitostí budou uhrazeny inkasem ze smlouvy uzavřené mezi Jihočeským krajem a katastrálním úřadem.</w:t>
      </w:r>
    </w:p>
    <w:p w14:paraId="0C1D4B74" w14:textId="77777777" w:rsidR="005D745A" w:rsidRDefault="005D745A" w:rsidP="00AF600B">
      <w:pPr>
        <w:pStyle w:val="KUJKnormal"/>
      </w:pPr>
    </w:p>
    <w:p w14:paraId="5AE469D2" w14:textId="77777777" w:rsidR="005D745A" w:rsidRDefault="005D745A" w:rsidP="00AF600B">
      <w:pPr>
        <w:pStyle w:val="KUJKnormal"/>
      </w:pPr>
      <w:r w:rsidRPr="001567E5">
        <w:t>Vyjádření správce rozpočtu:</w:t>
      </w:r>
    </w:p>
    <w:p w14:paraId="07BC7E7A" w14:textId="77777777" w:rsidR="005D745A" w:rsidRDefault="005D745A" w:rsidP="001567E5">
      <w:pPr>
        <w:pStyle w:val="KUJKnormal"/>
      </w:pPr>
      <w:r>
        <w:t>Bc. Blanka Klímová (OEKO):</w:t>
      </w:r>
      <w:r w:rsidRPr="007666AA">
        <w:t xml:space="preserve"> </w:t>
      </w:r>
      <w:r>
        <w:t xml:space="preserve"> Souhlasím</w:t>
      </w:r>
      <w:r w:rsidRPr="007666AA">
        <w:t xml:space="preserve"> </w:t>
      </w:r>
      <w:r>
        <w:t>–</w:t>
      </w:r>
      <w:r w:rsidRPr="007666AA">
        <w:t xml:space="preserve"> </w:t>
      </w:r>
      <w:r>
        <w:t>V případě schválení a uzavření smlouvy o spolupráci  a darovací smlouvy s městem je potřeba celou akci zahrnout do návrhu rozpočtu na rok 2025 a SVR pro roky 2026–2027 dle uvedeného finančního krytí materiálu. Tato akce není ve schváleném rozpočtu ani v SVR kraje alokována.</w:t>
      </w:r>
    </w:p>
    <w:p w14:paraId="654CB1FC" w14:textId="77777777" w:rsidR="005D745A" w:rsidRDefault="005D745A" w:rsidP="00AF600B">
      <w:pPr>
        <w:pStyle w:val="KUJKnormal"/>
      </w:pPr>
    </w:p>
    <w:p w14:paraId="4A54FC12" w14:textId="77777777" w:rsidR="005D745A" w:rsidRDefault="005D745A" w:rsidP="00AF600B">
      <w:pPr>
        <w:pStyle w:val="KUJKnormal"/>
      </w:pPr>
    </w:p>
    <w:p w14:paraId="39570B1E" w14:textId="77777777" w:rsidR="005D745A" w:rsidRPr="00A33BDF" w:rsidRDefault="005D745A" w:rsidP="00AF600B">
      <w:pPr>
        <w:pStyle w:val="KUJKnormal"/>
      </w:pPr>
      <w:r>
        <w:t xml:space="preserve">Návrh projednán (stanoviska): </w:t>
      </w:r>
      <w:r w:rsidRPr="00A33BDF">
        <w:t>OREG, OHMS, OPZU</w:t>
      </w:r>
      <w:r>
        <w:t>, RK dne 29. 8. 2024, č. usn.: 1059/2024/RK-95, VVVZ dne 5. 9. 2024</w:t>
      </w:r>
    </w:p>
    <w:p w14:paraId="5B5249CD" w14:textId="77777777" w:rsidR="005D745A" w:rsidRDefault="005D745A" w:rsidP="00AF600B">
      <w:pPr>
        <w:pStyle w:val="KUJKnormal"/>
      </w:pPr>
    </w:p>
    <w:p w14:paraId="7EE61762" w14:textId="77777777" w:rsidR="005D745A" w:rsidRDefault="005D745A" w:rsidP="00AF600B">
      <w:pPr>
        <w:pStyle w:val="KUJKnormal"/>
      </w:pPr>
    </w:p>
    <w:p w14:paraId="5C1C099B" w14:textId="77777777" w:rsidR="005D745A" w:rsidRPr="007939A8" w:rsidRDefault="005D745A" w:rsidP="00AF600B">
      <w:pPr>
        <w:pStyle w:val="KUJKtucny"/>
      </w:pPr>
      <w:r w:rsidRPr="00FB13C8">
        <w:t>PŘÍLOHY:</w:t>
      </w:r>
    </w:p>
    <w:p w14:paraId="3AA954A7" w14:textId="77777777" w:rsidR="005D745A" w:rsidRPr="00B52AA9" w:rsidRDefault="005D745A" w:rsidP="003E2D1B">
      <w:pPr>
        <w:pStyle w:val="KUJKcislovany"/>
      </w:pPr>
      <w:r>
        <w:t>Smlouva o spolupráci a smlouva darovací</w:t>
      </w:r>
      <w:r w:rsidRPr="0081756D">
        <w:t xml:space="preserve"> (</w:t>
      </w:r>
      <w:r>
        <w:t>Smlouva o spolupráci a smlouva darovací.docx</w:t>
      </w:r>
      <w:r w:rsidRPr="0081756D">
        <w:t>)</w:t>
      </w:r>
    </w:p>
    <w:p w14:paraId="0D21603D" w14:textId="77777777" w:rsidR="005D745A" w:rsidRPr="00B52AA9" w:rsidRDefault="005D745A" w:rsidP="003E2D1B">
      <w:pPr>
        <w:pStyle w:val="KUJKcislovany"/>
      </w:pPr>
      <w:r>
        <w:t>Situace a schéma objektu Stará radnice</w:t>
      </w:r>
      <w:r w:rsidRPr="0081756D">
        <w:t xml:space="preserve"> (</w:t>
      </w:r>
      <w:r>
        <w:t>Příloha č 2_Situace a schéma objektu Staré radnice.docx</w:t>
      </w:r>
      <w:r w:rsidRPr="0081756D">
        <w:t>)</w:t>
      </w:r>
    </w:p>
    <w:p w14:paraId="5475C845" w14:textId="77777777" w:rsidR="005D745A" w:rsidRPr="00B52AA9" w:rsidRDefault="005D745A" w:rsidP="003E2D1B">
      <w:pPr>
        <w:pStyle w:val="KUJKcislovany"/>
      </w:pPr>
      <w:r>
        <w:t>Výpis listu vlastnictví</w:t>
      </w:r>
      <w:r w:rsidRPr="0081756D">
        <w:t xml:space="preserve"> (</w:t>
      </w:r>
      <w:r>
        <w:t>Výpis listu vlastnictví.pdf</w:t>
      </w:r>
      <w:r w:rsidRPr="0081756D">
        <w:t>)</w:t>
      </w:r>
    </w:p>
    <w:p w14:paraId="4590DD2D" w14:textId="77777777" w:rsidR="005D745A" w:rsidRDefault="005D745A">
      <w:pPr>
        <w:pStyle w:val="KUJKnormal"/>
      </w:pPr>
    </w:p>
    <w:p w14:paraId="6181E694" w14:textId="77777777" w:rsidR="005D745A" w:rsidRDefault="005D745A" w:rsidP="00AF600B">
      <w:pPr>
        <w:pStyle w:val="KUJKnormal"/>
      </w:pPr>
    </w:p>
    <w:p w14:paraId="4F77B6CC" w14:textId="77777777" w:rsidR="005D745A" w:rsidRPr="00A33BDF" w:rsidRDefault="005D745A" w:rsidP="00AF600B">
      <w:pPr>
        <w:pStyle w:val="KUJKtucny"/>
        <w:rPr>
          <w:b w:val="0"/>
          <w:bCs/>
        </w:rPr>
      </w:pPr>
      <w:r w:rsidRPr="007C1EE7">
        <w:t>Zodpovídá:</w:t>
      </w:r>
      <w:r>
        <w:t xml:space="preserve"> </w:t>
      </w:r>
      <w:r>
        <w:rPr>
          <w:b w:val="0"/>
          <w:bCs/>
        </w:rPr>
        <w:t>vedoucí OŠMT – Ing. Hana Šímová</w:t>
      </w:r>
    </w:p>
    <w:p w14:paraId="3EAC93B1" w14:textId="77777777" w:rsidR="005D745A" w:rsidRDefault="005D745A" w:rsidP="00AF600B">
      <w:pPr>
        <w:pStyle w:val="KUJKnormal"/>
      </w:pPr>
    </w:p>
    <w:p w14:paraId="7DAAB022" w14:textId="77777777" w:rsidR="005D745A" w:rsidRDefault="005D745A" w:rsidP="00AF600B">
      <w:pPr>
        <w:pStyle w:val="KUJKnormal"/>
      </w:pPr>
      <w:r>
        <w:t>Termín kontroly: 31.12.2024</w:t>
      </w:r>
    </w:p>
    <w:p w14:paraId="18340975" w14:textId="77777777" w:rsidR="005D745A" w:rsidRDefault="005D745A" w:rsidP="00AF600B">
      <w:pPr>
        <w:pStyle w:val="KUJKnormal"/>
      </w:pPr>
      <w:r>
        <w:t>Termín splnění: 31.12.2024</w:t>
      </w:r>
    </w:p>
    <w:p w14:paraId="1F5B7FC8" w14:textId="77777777" w:rsidR="005D745A" w:rsidRDefault="005D745A"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 w:id="1">
    <w:p w14:paraId="1441F0ED" w14:textId="77777777" w:rsidR="005D745A" w:rsidRDefault="005D745A" w:rsidP="00A33BDF">
      <w:pPr>
        <w:pStyle w:val="Textpoznpodarou"/>
        <w:jc w:val="both"/>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na základě zaměření skutečného obvodu budov geometrickým plánem (dále jen GP) byly původní pozemky tímto GP rozděleny na nově vzniklé parcely a byl proveden zápis tohoto GP do katastru nemovitostí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3D8D9" w14:textId="77777777" w:rsidR="005D745A" w:rsidRDefault="005D745A" w:rsidP="005D745A">
    <w:r>
      <w:rPr>
        <w:noProof/>
      </w:rPr>
      <w:pict w14:anchorId="0501F1A4">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FF5962B" w14:textId="77777777" w:rsidR="005D745A" w:rsidRPr="005F485E" w:rsidRDefault="005D745A" w:rsidP="005D745A">
                <w:pPr>
                  <w:spacing w:after="60"/>
                  <w:rPr>
                    <w:rFonts w:ascii="Arial" w:hAnsi="Arial" w:cs="Arial"/>
                    <w:b/>
                    <w:sz w:val="22"/>
                  </w:rPr>
                </w:pPr>
                <w:r w:rsidRPr="005F485E">
                  <w:rPr>
                    <w:rFonts w:ascii="Arial" w:hAnsi="Arial" w:cs="Arial"/>
                    <w:b/>
                    <w:sz w:val="22"/>
                  </w:rPr>
                  <w:t>ZASTUPITELSTVO JIHOČESKÉHO KRAJE</w:t>
                </w:r>
              </w:p>
              <w:p w14:paraId="3B8EEF86" w14:textId="77777777" w:rsidR="005D745A" w:rsidRPr="005F485E" w:rsidRDefault="005D745A" w:rsidP="005D745A">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69FE5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B52EBF4" w14:textId="77777777" w:rsidR="005D745A" w:rsidRDefault="005D745A" w:rsidP="005D745A">
    <w:r>
      <w:pict w14:anchorId="2F3A705E">
        <v:rect id="_x0000_i1026" style="width:481.9pt;height:2pt" o:hralign="center" o:hrstd="t" o:hrnoshade="t" o:hr="t" fillcolor="black" stroked="f"/>
      </w:pict>
    </w:r>
  </w:p>
  <w:p w14:paraId="63236C9B" w14:textId="77777777" w:rsidR="005D745A" w:rsidRPr="005D745A" w:rsidRDefault="005D745A" w:rsidP="005D74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D433BCF"/>
    <w:multiLevelType w:val="hybridMultilevel"/>
    <w:tmpl w:val="58C276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C381089"/>
    <w:multiLevelType w:val="hybridMultilevel"/>
    <w:tmpl w:val="F89895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12585472">
    <w:abstractNumId w:val="1"/>
  </w:num>
  <w:num w:numId="2" w16cid:durableId="1739552714">
    <w:abstractNumId w:val="2"/>
  </w:num>
  <w:num w:numId="3" w16cid:durableId="1273784283">
    <w:abstractNumId w:val="11"/>
  </w:num>
  <w:num w:numId="4" w16cid:durableId="1906645408">
    <w:abstractNumId w:val="9"/>
  </w:num>
  <w:num w:numId="5" w16cid:durableId="250314212">
    <w:abstractNumId w:val="0"/>
  </w:num>
  <w:num w:numId="6" w16cid:durableId="1822311032">
    <w:abstractNumId w:val="3"/>
  </w:num>
  <w:num w:numId="7" w16cid:durableId="1381249746">
    <w:abstractNumId w:val="7"/>
  </w:num>
  <w:num w:numId="8" w16cid:durableId="1737241019">
    <w:abstractNumId w:val="4"/>
  </w:num>
  <w:num w:numId="9" w16cid:durableId="491989669">
    <w:abstractNumId w:val="5"/>
  </w:num>
  <w:num w:numId="10" w16cid:durableId="1041900636">
    <w:abstractNumId w:val="10"/>
  </w:num>
  <w:num w:numId="11" w16cid:durableId="1691374143">
    <w:abstractNumId w:val="8"/>
  </w:num>
  <w:num w:numId="12" w16cid:durableId="13161022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507"/>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787"/>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D745A"/>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Textpoznpodarou">
    <w:name w:val="footnote text"/>
    <w:basedOn w:val="Normln"/>
    <w:link w:val="TextpoznpodarouChar"/>
    <w:uiPriority w:val="99"/>
    <w:unhideWhenUsed/>
    <w:rsid w:val="005D745A"/>
    <w:rPr>
      <w:sz w:val="20"/>
      <w:szCs w:val="20"/>
    </w:rPr>
  </w:style>
  <w:style w:type="character" w:customStyle="1" w:styleId="TextpoznpodarouChar">
    <w:name w:val="Text pozn. pod čarou Char"/>
    <w:basedOn w:val="Standardnpsmoodstavce"/>
    <w:link w:val="Textpoznpodarou"/>
    <w:uiPriority w:val="99"/>
    <w:rsid w:val="005D745A"/>
    <w:rPr>
      <w:rFonts w:ascii="Times New Roman" w:hAnsi="Times New Roman"/>
      <w:lang w:eastAsia="en-US"/>
    </w:rPr>
  </w:style>
  <w:style w:type="character" w:styleId="Znakapoznpodarou">
    <w:name w:val="footnote reference"/>
    <w:uiPriority w:val="99"/>
    <w:unhideWhenUsed/>
    <w:rsid w:val="005D74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1912</Words>
  <Characters>11283</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2024-09-13T11:43:00Z</dcterms:created>
  <dcterms:modified xsi:type="dcterms:W3CDTF">2024-09-13T11:43:00Z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6459341</vt:i4>
  </property>
  <property fmtid="{D5CDD505-2E9C-101B-9397-08002B2CF9AE}" pid="4" name="ID_Navrh">
    <vt:i4>6639286</vt:i4>
  </property>
  <property fmtid="{D5CDD505-2E9C-101B-9397-08002B2CF9AE}" pid="5" name="UlozitJako">
    <vt:lpwstr>C:\Users\mrazkova\AppData\Local\Temp\iU64793032\Zastupitelstvo\2024-09-12\Navrhy\322-ZK-24.</vt:lpwstr>
  </property>
  <property fmtid="{D5CDD505-2E9C-101B-9397-08002B2CF9AE}" pid="6" name="Zpracovat">
    <vt:bool>false</vt:bool>
  </property>
</Properties>
</file>