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759E4" w14:paraId="02D59FBD" w14:textId="77777777" w:rsidTr="001D45CE">
        <w:trPr>
          <w:trHeight w:hRule="exact" w:val="397"/>
        </w:trPr>
        <w:tc>
          <w:tcPr>
            <w:tcW w:w="2376" w:type="dxa"/>
            <w:hideMark/>
          </w:tcPr>
          <w:p w14:paraId="21880D94" w14:textId="77777777" w:rsidR="001759E4" w:rsidRDefault="001759E4" w:rsidP="00970720">
            <w:pPr>
              <w:pStyle w:val="KUJKtucny"/>
            </w:pPr>
            <w:r>
              <w:t>Datum jednání:</w:t>
            </w:r>
          </w:p>
        </w:tc>
        <w:tc>
          <w:tcPr>
            <w:tcW w:w="3828" w:type="dxa"/>
            <w:hideMark/>
          </w:tcPr>
          <w:p w14:paraId="7B7DA674" w14:textId="77777777" w:rsidR="001759E4" w:rsidRDefault="001759E4" w:rsidP="00970720">
            <w:pPr>
              <w:pStyle w:val="KUJKnormal"/>
            </w:pPr>
            <w:r>
              <w:t>12. 09. 2024</w:t>
            </w:r>
          </w:p>
        </w:tc>
        <w:tc>
          <w:tcPr>
            <w:tcW w:w="2126" w:type="dxa"/>
            <w:hideMark/>
          </w:tcPr>
          <w:p w14:paraId="1E67991E" w14:textId="77777777" w:rsidR="001759E4" w:rsidRDefault="001759E4" w:rsidP="00970720">
            <w:pPr>
              <w:pStyle w:val="KUJKtucny"/>
            </w:pPr>
            <w:r>
              <w:t xml:space="preserve">Bod programu: </w:t>
            </w:r>
            <w:r w:rsidRPr="009932CC">
              <w:rPr>
                <w:sz w:val="32"/>
                <w:szCs w:val="32"/>
              </w:rPr>
              <w:t>29</w:t>
            </w:r>
          </w:p>
        </w:tc>
        <w:tc>
          <w:tcPr>
            <w:tcW w:w="850" w:type="dxa"/>
          </w:tcPr>
          <w:p w14:paraId="0769D9CF" w14:textId="77777777" w:rsidR="001759E4" w:rsidRDefault="001759E4" w:rsidP="00970720">
            <w:pPr>
              <w:pStyle w:val="KUJKnormal"/>
            </w:pPr>
          </w:p>
        </w:tc>
      </w:tr>
      <w:tr w:rsidR="001759E4" w14:paraId="3776BFD9" w14:textId="77777777" w:rsidTr="001D45CE">
        <w:trPr>
          <w:cantSplit/>
          <w:trHeight w:hRule="exact" w:val="397"/>
        </w:trPr>
        <w:tc>
          <w:tcPr>
            <w:tcW w:w="2376" w:type="dxa"/>
            <w:hideMark/>
          </w:tcPr>
          <w:p w14:paraId="585DB85A" w14:textId="77777777" w:rsidR="001759E4" w:rsidRDefault="001759E4" w:rsidP="00970720">
            <w:pPr>
              <w:pStyle w:val="KUJKtucny"/>
            </w:pPr>
            <w:r>
              <w:t>Číslo návrhu:</w:t>
            </w:r>
          </w:p>
        </w:tc>
        <w:tc>
          <w:tcPr>
            <w:tcW w:w="6804" w:type="dxa"/>
            <w:gridSpan w:val="3"/>
            <w:hideMark/>
          </w:tcPr>
          <w:p w14:paraId="1E76325C" w14:textId="77777777" w:rsidR="001759E4" w:rsidRDefault="001759E4" w:rsidP="00970720">
            <w:pPr>
              <w:pStyle w:val="KUJKnormal"/>
            </w:pPr>
            <w:r>
              <w:t>319/ZK/24</w:t>
            </w:r>
          </w:p>
        </w:tc>
      </w:tr>
      <w:tr w:rsidR="001759E4" w14:paraId="5C2147A6" w14:textId="77777777" w:rsidTr="001D45CE">
        <w:trPr>
          <w:trHeight w:val="397"/>
        </w:trPr>
        <w:tc>
          <w:tcPr>
            <w:tcW w:w="2376" w:type="dxa"/>
          </w:tcPr>
          <w:p w14:paraId="61AACC29" w14:textId="77777777" w:rsidR="001759E4" w:rsidRDefault="001759E4" w:rsidP="00970720"/>
          <w:p w14:paraId="7067230C" w14:textId="77777777" w:rsidR="001759E4" w:rsidRDefault="001759E4" w:rsidP="00970720">
            <w:pPr>
              <w:pStyle w:val="KUJKtucny"/>
            </w:pPr>
            <w:r>
              <w:t>Název bodu:</w:t>
            </w:r>
          </w:p>
        </w:tc>
        <w:tc>
          <w:tcPr>
            <w:tcW w:w="6804" w:type="dxa"/>
            <w:gridSpan w:val="3"/>
          </w:tcPr>
          <w:p w14:paraId="3FB8819D" w14:textId="77777777" w:rsidR="001759E4" w:rsidRDefault="001759E4" w:rsidP="00970720"/>
          <w:p w14:paraId="2451406C" w14:textId="77777777" w:rsidR="001759E4" w:rsidRDefault="001759E4" w:rsidP="00970720">
            <w:pPr>
              <w:pStyle w:val="KUJKtucny"/>
              <w:rPr>
                <w:sz w:val="22"/>
                <w:szCs w:val="22"/>
              </w:rPr>
            </w:pPr>
            <w:r>
              <w:rPr>
                <w:sz w:val="22"/>
                <w:szCs w:val="22"/>
              </w:rPr>
              <w:t>Dodatek ke Smlouvě o spolupráci Jihočeského kraje a Nadace J&amp;T k Transformaci dětských domovů</w:t>
            </w:r>
          </w:p>
        </w:tc>
      </w:tr>
    </w:tbl>
    <w:p w14:paraId="03C69209" w14:textId="77777777" w:rsidR="001759E4" w:rsidRDefault="001759E4" w:rsidP="001D45CE">
      <w:pPr>
        <w:pStyle w:val="KUJKnormal"/>
        <w:rPr>
          <w:b/>
          <w:bCs/>
        </w:rPr>
      </w:pPr>
      <w:r>
        <w:rPr>
          <w:b/>
          <w:bCs/>
        </w:rPr>
        <w:pict w14:anchorId="585DCCD6">
          <v:rect id="_x0000_i1029" style="width:453.6pt;height:1.5pt" o:hralign="center" o:hrstd="t" o:hrnoshade="t" o:hr="t" fillcolor="black" stroked="f"/>
        </w:pict>
      </w:r>
    </w:p>
    <w:p w14:paraId="73DD17DE" w14:textId="77777777" w:rsidR="001759E4" w:rsidRDefault="001759E4" w:rsidP="001D45CE">
      <w:pPr>
        <w:pStyle w:val="KUJKnormal"/>
      </w:pPr>
    </w:p>
    <w:p w14:paraId="03E98D1F" w14:textId="77777777" w:rsidR="001759E4" w:rsidRDefault="001759E4" w:rsidP="001D45CE"/>
    <w:tbl>
      <w:tblPr>
        <w:tblW w:w="0" w:type="auto"/>
        <w:tblCellMar>
          <w:left w:w="70" w:type="dxa"/>
          <w:right w:w="70" w:type="dxa"/>
        </w:tblCellMar>
        <w:tblLook w:val="04A0" w:firstRow="1" w:lastRow="0" w:firstColumn="1" w:lastColumn="0" w:noHBand="0" w:noVBand="1"/>
      </w:tblPr>
      <w:tblGrid>
        <w:gridCol w:w="2350"/>
        <w:gridCol w:w="6862"/>
      </w:tblGrid>
      <w:tr w:rsidR="001759E4" w14:paraId="33DA83A1" w14:textId="77777777" w:rsidTr="002559B8">
        <w:trPr>
          <w:trHeight w:val="397"/>
        </w:trPr>
        <w:tc>
          <w:tcPr>
            <w:tcW w:w="2350" w:type="dxa"/>
            <w:hideMark/>
          </w:tcPr>
          <w:p w14:paraId="31D7A046" w14:textId="77777777" w:rsidR="001759E4" w:rsidRDefault="001759E4" w:rsidP="002559B8">
            <w:pPr>
              <w:pStyle w:val="KUJKtucny"/>
            </w:pPr>
            <w:r>
              <w:t>Předkladatel:</w:t>
            </w:r>
          </w:p>
        </w:tc>
        <w:tc>
          <w:tcPr>
            <w:tcW w:w="6862" w:type="dxa"/>
          </w:tcPr>
          <w:p w14:paraId="382C783E" w14:textId="77777777" w:rsidR="001759E4" w:rsidRDefault="001759E4" w:rsidP="002559B8">
            <w:pPr>
              <w:pStyle w:val="KUJKnormal"/>
            </w:pPr>
            <w:r>
              <w:t>Mgr. Pavel Klíma</w:t>
            </w:r>
          </w:p>
          <w:p w14:paraId="1D0DC20F" w14:textId="77777777" w:rsidR="001759E4" w:rsidRDefault="001759E4" w:rsidP="002559B8"/>
        </w:tc>
      </w:tr>
      <w:tr w:rsidR="001759E4" w14:paraId="7BF97FFD" w14:textId="77777777" w:rsidTr="002559B8">
        <w:trPr>
          <w:trHeight w:val="397"/>
        </w:trPr>
        <w:tc>
          <w:tcPr>
            <w:tcW w:w="2350" w:type="dxa"/>
          </w:tcPr>
          <w:p w14:paraId="60F88A95" w14:textId="77777777" w:rsidR="001759E4" w:rsidRDefault="001759E4" w:rsidP="002559B8">
            <w:pPr>
              <w:pStyle w:val="KUJKtucny"/>
            </w:pPr>
            <w:r>
              <w:t>Zpracoval:</w:t>
            </w:r>
          </w:p>
          <w:p w14:paraId="39E960D4" w14:textId="77777777" w:rsidR="001759E4" w:rsidRDefault="001759E4" w:rsidP="002559B8"/>
        </w:tc>
        <w:tc>
          <w:tcPr>
            <w:tcW w:w="6862" w:type="dxa"/>
            <w:hideMark/>
          </w:tcPr>
          <w:p w14:paraId="493471AB" w14:textId="77777777" w:rsidR="001759E4" w:rsidRDefault="001759E4" w:rsidP="002559B8">
            <w:pPr>
              <w:pStyle w:val="KUJKnormal"/>
            </w:pPr>
            <w:r>
              <w:t>OSMT</w:t>
            </w:r>
          </w:p>
        </w:tc>
      </w:tr>
      <w:tr w:rsidR="001759E4" w14:paraId="2BF0A41C" w14:textId="77777777" w:rsidTr="002559B8">
        <w:trPr>
          <w:trHeight w:val="397"/>
        </w:trPr>
        <w:tc>
          <w:tcPr>
            <w:tcW w:w="2350" w:type="dxa"/>
          </w:tcPr>
          <w:p w14:paraId="2DB00911" w14:textId="77777777" w:rsidR="001759E4" w:rsidRPr="009715F9" w:rsidRDefault="001759E4" w:rsidP="002559B8">
            <w:pPr>
              <w:pStyle w:val="KUJKnormal"/>
              <w:rPr>
                <w:b/>
              </w:rPr>
            </w:pPr>
            <w:r w:rsidRPr="009715F9">
              <w:rPr>
                <w:b/>
              </w:rPr>
              <w:t>Vedoucí odboru:</w:t>
            </w:r>
          </w:p>
          <w:p w14:paraId="5558AA44" w14:textId="77777777" w:rsidR="001759E4" w:rsidRDefault="001759E4" w:rsidP="002559B8"/>
        </w:tc>
        <w:tc>
          <w:tcPr>
            <w:tcW w:w="6862" w:type="dxa"/>
            <w:hideMark/>
          </w:tcPr>
          <w:p w14:paraId="4588CB6B" w14:textId="77777777" w:rsidR="001759E4" w:rsidRDefault="001759E4" w:rsidP="002559B8">
            <w:pPr>
              <w:pStyle w:val="KUJKnormal"/>
            </w:pPr>
            <w:r>
              <w:t>Ing. Hana Šímová</w:t>
            </w:r>
          </w:p>
        </w:tc>
      </w:tr>
    </w:tbl>
    <w:p w14:paraId="49D490A6" w14:textId="77777777" w:rsidR="001759E4" w:rsidRDefault="001759E4" w:rsidP="001D45CE">
      <w:pPr>
        <w:pStyle w:val="KUJKnormal"/>
      </w:pPr>
    </w:p>
    <w:p w14:paraId="7ABE1F45" w14:textId="77777777" w:rsidR="001759E4" w:rsidRPr="0052161F" w:rsidRDefault="001759E4" w:rsidP="001D45CE">
      <w:pPr>
        <w:pStyle w:val="KUJKtucny"/>
      </w:pPr>
      <w:r w:rsidRPr="0052161F">
        <w:t>NÁVRH USNESENÍ</w:t>
      </w:r>
    </w:p>
    <w:p w14:paraId="6AC29AA4" w14:textId="77777777" w:rsidR="001759E4" w:rsidRDefault="001759E4" w:rsidP="001D45CE">
      <w:pPr>
        <w:pStyle w:val="KUJKnormal"/>
        <w:rPr>
          <w:rFonts w:ascii="Calibri" w:hAnsi="Calibri" w:cs="Calibri"/>
          <w:sz w:val="12"/>
          <w:szCs w:val="12"/>
        </w:rPr>
      </w:pPr>
      <w:bookmarkStart w:id="0" w:name="US_ZaVeVeci"/>
      <w:bookmarkEnd w:id="0"/>
    </w:p>
    <w:p w14:paraId="46B37A17" w14:textId="77777777" w:rsidR="001759E4" w:rsidRDefault="001759E4" w:rsidP="001D45CE">
      <w:pPr>
        <w:pStyle w:val="KUJKPolozka"/>
      </w:pPr>
      <w:r w:rsidRPr="00841DFC">
        <w:t>Zastupitelstvo Jihočeského kraje</w:t>
      </w:r>
    </w:p>
    <w:p w14:paraId="6E5FAF80" w14:textId="77777777" w:rsidR="001759E4" w:rsidRPr="005D4B19" w:rsidRDefault="001759E4" w:rsidP="00BB0608">
      <w:pPr>
        <w:pStyle w:val="KUJKdoplnek2"/>
      </w:pPr>
      <w:r w:rsidRPr="00AF7BAE">
        <w:t>schvaluje</w:t>
      </w:r>
    </w:p>
    <w:p w14:paraId="67DCB7F6" w14:textId="77777777" w:rsidR="001759E4" w:rsidRDefault="001759E4" w:rsidP="009932CC">
      <w:pPr>
        <w:pStyle w:val="KUJKPolozka"/>
        <w:rPr>
          <w:b w:val="0"/>
          <w:bCs/>
        </w:rPr>
      </w:pPr>
      <w:r>
        <w:rPr>
          <w:b w:val="0"/>
          <w:bCs/>
        </w:rPr>
        <w:t>uzavření D</w:t>
      </w:r>
      <w:r w:rsidRPr="009932CC">
        <w:rPr>
          <w:b w:val="0"/>
          <w:bCs/>
        </w:rPr>
        <w:t>odat</w:t>
      </w:r>
      <w:r>
        <w:rPr>
          <w:b w:val="0"/>
          <w:bCs/>
        </w:rPr>
        <w:t>ku</w:t>
      </w:r>
      <w:r w:rsidRPr="009932CC">
        <w:rPr>
          <w:b w:val="0"/>
          <w:bCs/>
        </w:rPr>
        <w:t xml:space="preserve"> </w:t>
      </w:r>
      <w:r>
        <w:rPr>
          <w:b w:val="0"/>
          <w:bCs/>
        </w:rPr>
        <w:t xml:space="preserve">ke </w:t>
      </w:r>
      <w:r w:rsidRPr="009932CC">
        <w:rPr>
          <w:b w:val="0"/>
          <w:bCs/>
        </w:rPr>
        <w:t>smlouv</w:t>
      </w:r>
      <w:r>
        <w:rPr>
          <w:b w:val="0"/>
          <w:bCs/>
        </w:rPr>
        <w:t>ě</w:t>
      </w:r>
      <w:r w:rsidRPr="009932CC">
        <w:rPr>
          <w:b w:val="0"/>
          <w:bCs/>
        </w:rPr>
        <w:t xml:space="preserve"> o spolupráci Jihočeského kraje a Nadace J&amp;T k Transformaci dětských</w:t>
      </w:r>
      <w:r>
        <w:rPr>
          <w:b w:val="0"/>
          <w:bCs/>
        </w:rPr>
        <w:t xml:space="preserve"> </w:t>
      </w:r>
      <w:r w:rsidRPr="009932CC">
        <w:rPr>
          <w:b w:val="0"/>
          <w:bCs/>
        </w:rPr>
        <w:t xml:space="preserve">domovů dle přílohy návrhu č. </w:t>
      </w:r>
      <w:r>
        <w:rPr>
          <w:b w:val="0"/>
          <w:bCs/>
        </w:rPr>
        <w:t>319</w:t>
      </w:r>
      <w:r w:rsidRPr="009932CC">
        <w:rPr>
          <w:b w:val="0"/>
          <w:bCs/>
        </w:rPr>
        <w:t>/ZK/2</w:t>
      </w:r>
      <w:r>
        <w:rPr>
          <w:b w:val="0"/>
          <w:bCs/>
        </w:rPr>
        <w:t>4</w:t>
      </w:r>
      <w:r w:rsidRPr="009932CC">
        <w:rPr>
          <w:b w:val="0"/>
          <w:bCs/>
        </w:rPr>
        <w:t>;</w:t>
      </w:r>
    </w:p>
    <w:p w14:paraId="198A38F4" w14:textId="77777777" w:rsidR="001759E4" w:rsidRPr="005D4B19" w:rsidRDefault="001759E4" w:rsidP="000E4534">
      <w:pPr>
        <w:pStyle w:val="KUJKdoplnek2"/>
      </w:pPr>
      <w:r w:rsidRPr="0005454E">
        <w:t>pověřuje</w:t>
      </w:r>
    </w:p>
    <w:p w14:paraId="66B7A149" w14:textId="77777777" w:rsidR="001759E4" w:rsidRDefault="001759E4" w:rsidP="009932CC">
      <w:pPr>
        <w:pStyle w:val="KUJKPolozka"/>
        <w:rPr>
          <w:b w:val="0"/>
          <w:bCs/>
        </w:rPr>
      </w:pPr>
      <w:r w:rsidRPr="009932CC">
        <w:rPr>
          <w:b w:val="0"/>
          <w:bCs/>
        </w:rPr>
        <w:t xml:space="preserve">MUDr. Martina Kubu, hejtmana kraje, k podpisu </w:t>
      </w:r>
      <w:r>
        <w:rPr>
          <w:b w:val="0"/>
          <w:bCs/>
        </w:rPr>
        <w:t>D</w:t>
      </w:r>
      <w:r w:rsidRPr="009932CC">
        <w:rPr>
          <w:b w:val="0"/>
          <w:bCs/>
        </w:rPr>
        <w:t xml:space="preserve">odatku </w:t>
      </w:r>
      <w:r>
        <w:rPr>
          <w:b w:val="0"/>
          <w:bCs/>
        </w:rPr>
        <w:t xml:space="preserve">ke </w:t>
      </w:r>
      <w:r w:rsidRPr="009932CC">
        <w:rPr>
          <w:b w:val="0"/>
          <w:bCs/>
        </w:rPr>
        <w:t>smlouv</w:t>
      </w:r>
      <w:r>
        <w:rPr>
          <w:b w:val="0"/>
          <w:bCs/>
        </w:rPr>
        <w:t>ě</w:t>
      </w:r>
      <w:r w:rsidRPr="009932CC">
        <w:rPr>
          <w:b w:val="0"/>
          <w:bCs/>
        </w:rPr>
        <w:t xml:space="preserve"> o spolupráci Jihočeského kraje a Nadace J&amp;T k Transformaci dětských domovů.</w:t>
      </w:r>
    </w:p>
    <w:p w14:paraId="2DB353A6" w14:textId="77777777" w:rsidR="001759E4" w:rsidRDefault="001759E4" w:rsidP="009932CC">
      <w:pPr>
        <w:pStyle w:val="KUJKnormal"/>
      </w:pPr>
    </w:p>
    <w:p w14:paraId="539CD0E2" w14:textId="77777777" w:rsidR="001759E4" w:rsidRDefault="001759E4" w:rsidP="009932CC">
      <w:pPr>
        <w:pStyle w:val="KUJKnormal"/>
      </w:pPr>
    </w:p>
    <w:p w14:paraId="4206562D" w14:textId="77777777" w:rsidR="001759E4" w:rsidRDefault="001759E4" w:rsidP="009932CC">
      <w:pPr>
        <w:pStyle w:val="KUJKmezeraDZ"/>
      </w:pPr>
      <w:bookmarkStart w:id="1" w:name="US_DuvodZprava"/>
      <w:bookmarkEnd w:id="1"/>
    </w:p>
    <w:p w14:paraId="0824E1A8" w14:textId="77777777" w:rsidR="001759E4" w:rsidRDefault="001759E4" w:rsidP="009932CC">
      <w:pPr>
        <w:pStyle w:val="KUJKnadpisDZ"/>
      </w:pPr>
      <w:r>
        <w:t>DŮVODOVÁ ZPRÁVA</w:t>
      </w:r>
    </w:p>
    <w:p w14:paraId="09F18D53" w14:textId="77777777" w:rsidR="001759E4" w:rsidRDefault="001759E4" w:rsidP="00783BA1">
      <w:pPr>
        <w:spacing w:after="120"/>
        <w:jc w:val="both"/>
        <w:rPr>
          <w:rFonts w:ascii="Tahoma" w:hAnsi="Tahoma" w:cs="Tahoma"/>
          <w:sz w:val="20"/>
          <w:szCs w:val="20"/>
        </w:rPr>
      </w:pPr>
    </w:p>
    <w:p w14:paraId="12C771D6" w14:textId="77777777" w:rsidR="001759E4" w:rsidRDefault="001759E4" w:rsidP="00783BA1">
      <w:pPr>
        <w:spacing w:after="120"/>
        <w:jc w:val="both"/>
        <w:rPr>
          <w:rFonts w:ascii="Tahoma" w:hAnsi="Tahoma" w:cs="Tahoma"/>
          <w:bCs/>
          <w:sz w:val="20"/>
          <w:szCs w:val="24"/>
          <w:lang w:eastAsia="cs-CZ"/>
        </w:rPr>
      </w:pPr>
      <w:r>
        <w:rPr>
          <w:rFonts w:ascii="Tahoma" w:hAnsi="Tahoma" w:cs="Tahoma"/>
          <w:sz w:val="20"/>
          <w:szCs w:val="20"/>
        </w:rPr>
        <w:t xml:space="preserve">OŠMT předkládá dodatek Smlouvy o spolupráci JčK a Nadace </w:t>
      </w:r>
      <w:r>
        <w:rPr>
          <w:rFonts w:ascii="Tahoma" w:hAnsi="Tahoma" w:cs="Tahoma"/>
          <w:bCs/>
          <w:sz w:val="20"/>
        </w:rPr>
        <w:t>J&amp;T k Transformaci dětských domovů, která byla podepsána 14. ledna 2024 usnesením Zastupitelstva Jihočeského kraje č. 423/2023/ZK-31 ze dne 14.12.2023</w:t>
      </w:r>
      <w:r>
        <w:rPr>
          <w:rFonts w:ascii="Tahoma" w:hAnsi="Tahoma" w:cs="Tahoma"/>
          <w:sz w:val="20"/>
          <w:szCs w:val="20"/>
        </w:rPr>
        <w:t xml:space="preserve">. Kontaktní osobou je pro JčK určena </w:t>
      </w:r>
      <w:bookmarkStart w:id="2" w:name="_Hlk174455786"/>
      <w:r>
        <w:rPr>
          <w:rFonts w:ascii="Tahoma" w:hAnsi="Tahoma" w:cs="Tahoma"/>
          <w:sz w:val="20"/>
          <w:szCs w:val="20"/>
        </w:rPr>
        <w:t>Mgr. Kristýna Jůzová Kotalová</w:t>
      </w:r>
      <w:bookmarkEnd w:id="2"/>
      <w:r>
        <w:rPr>
          <w:rFonts w:ascii="Tahoma" w:hAnsi="Tahoma" w:cs="Tahoma"/>
          <w:sz w:val="20"/>
          <w:szCs w:val="20"/>
        </w:rPr>
        <w:t xml:space="preserve">, která spolupracuje s MPSV </w:t>
      </w:r>
      <w:r>
        <w:rPr>
          <w:rFonts w:ascii="Tahoma" w:hAnsi="Tahoma" w:cs="Tahoma"/>
          <w:sz w:val="20"/>
          <w:szCs w:val="20"/>
        </w:rPr>
        <w:br/>
        <w:t>a MŠMT.</w:t>
      </w:r>
    </w:p>
    <w:p w14:paraId="0866D991" w14:textId="77777777" w:rsidR="001759E4" w:rsidRDefault="001759E4" w:rsidP="00783BA1">
      <w:pPr>
        <w:spacing w:before="100" w:beforeAutospacing="1" w:after="100" w:afterAutospacing="1"/>
        <w:jc w:val="both"/>
        <w:rPr>
          <w:rFonts w:ascii="Tahoma" w:eastAsia="Aptos" w:hAnsi="Tahoma" w:cs="Tahoma"/>
          <w:sz w:val="20"/>
          <w:szCs w:val="20"/>
          <w:lang w:eastAsia="cs-CZ"/>
        </w:rPr>
      </w:pPr>
      <w:r>
        <w:rPr>
          <w:rFonts w:ascii="Tahoma" w:eastAsia="Aptos" w:hAnsi="Tahoma" w:cs="Tahoma"/>
          <w:sz w:val="20"/>
          <w:szCs w:val="20"/>
        </w:rPr>
        <w:t>Spolupráce</w:t>
      </w:r>
      <w:r>
        <w:rPr>
          <w:rFonts w:ascii="Tahoma" w:eastAsia="Aptos" w:hAnsi="Tahoma" w:cs="Tahoma"/>
          <w:sz w:val="20"/>
          <w:szCs w:val="20"/>
          <w:lang w:eastAsia="cs-CZ"/>
        </w:rPr>
        <w:t xml:space="preserve"> byla nastavena ve dvou úrovních:</w:t>
      </w:r>
    </w:p>
    <w:p w14:paraId="6CB53357" w14:textId="77777777" w:rsidR="001759E4" w:rsidRDefault="001759E4" w:rsidP="001759E4">
      <w:pPr>
        <w:numPr>
          <w:ilvl w:val="0"/>
          <w:numId w:val="11"/>
        </w:numPr>
        <w:spacing w:line="252" w:lineRule="auto"/>
        <w:jc w:val="both"/>
        <w:rPr>
          <w:rFonts w:ascii="Tahoma" w:hAnsi="Tahoma" w:cs="Tahoma"/>
          <w:iCs/>
          <w:sz w:val="20"/>
          <w:szCs w:val="20"/>
        </w:rPr>
      </w:pPr>
      <w:r>
        <w:rPr>
          <w:rFonts w:ascii="Tahoma" w:hAnsi="Tahoma" w:cs="Tahoma"/>
          <w:iCs/>
          <w:sz w:val="20"/>
          <w:szCs w:val="20"/>
        </w:rPr>
        <w:t>Analýza systému péče o ohrožené děti se zaměřením na potřeby dětí umístěných v zařízeních ústavní výchovy a na kapacity a možnosti transformace zařízení pro výkon ústavní výchovy v JČ kraji.</w:t>
      </w:r>
    </w:p>
    <w:p w14:paraId="7E7F7C20" w14:textId="77777777" w:rsidR="001759E4" w:rsidRDefault="001759E4" w:rsidP="00783BA1">
      <w:pPr>
        <w:spacing w:after="160" w:line="252" w:lineRule="auto"/>
        <w:ind w:firstLine="708"/>
        <w:jc w:val="both"/>
        <w:rPr>
          <w:rFonts w:ascii="Tahoma" w:hAnsi="Tahoma" w:cs="Tahoma"/>
          <w:sz w:val="20"/>
          <w:szCs w:val="20"/>
        </w:rPr>
      </w:pPr>
      <w:r>
        <w:rPr>
          <w:rFonts w:ascii="Tahoma" w:hAnsi="Tahoma" w:cs="Tahoma"/>
          <w:sz w:val="20"/>
          <w:szCs w:val="20"/>
        </w:rPr>
        <w:t>Nadace zpracuje pro Jihočeský kraj tuto analýzu ve výše uvedených DD</w:t>
      </w:r>
    </w:p>
    <w:p w14:paraId="7BC9CAA3" w14:textId="77777777" w:rsidR="001759E4" w:rsidRDefault="001759E4" w:rsidP="001759E4">
      <w:pPr>
        <w:numPr>
          <w:ilvl w:val="0"/>
          <w:numId w:val="11"/>
        </w:numPr>
        <w:spacing w:line="252" w:lineRule="auto"/>
        <w:jc w:val="both"/>
        <w:rPr>
          <w:rFonts w:ascii="Tahoma" w:hAnsi="Tahoma" w:cs="Tahoma"/>
          <w:iCs/>
          <w:sz w:val="20"/>
          <w:szCs w:val="20"/>
        </w:rPr>
      </w:pPr>
      <w:r>
        <w:rPr>
          <w:rFonts w:ascii="Tahoma" w:hAnsi="Tahoma" w:cs="Tahoma"/>
          <w:iCs/>
          <w:sz w:val="20"/>
          <w:szCs w:val="20"/>
        </w:rPr>
        <w:t>Podpora Jihočeského kraje v procesu transformace školských zařízení</w:t>
      </w:r>
    </w:p>
    <w:p w14:paraId="076FC887" w14:textId="77777777" w:rsidR="001759E4" w:rsidRDefault="001759E4" w:rsidP="001759E4">
      <w:pPr>
        <w:numPr>
          <w:ilvl w:val="0"/>
          <w:numId w:val="12"/>
        </w:numPr>
        <w:spacing w:line="252" w:lineRule="auto"/>
        <w:jc w:val="both"/>
        <w:rPr>
          <w:rFonts w:ascii="Tahoma" w:hAnsi="Tahoma" w:cs="Tahoma"/>
          <w:iCs/>
          <w:sz w:val="20"/>
          <w:szCs w:val="20"/>
        </w:rPr>
      </w:pPr>
      <w:r>
        <w:rPr>
          <w:rFonts w:ascii="Tahoma" w:hAnsi="Tahoma" w:cs="Tahoma"/>
          <w:iCs/>
          <w:sz w:val="20"/>
          <w:szCs w:val="20"/>
        </w:rPr>
        <w:t xml:space="preserve">Nadace v součinnosti s krajem zajistí: Podporu v sestavení krajského transformačního týmu </w:t>
      </w:r>
      <w:r>
        <w:rPr>
          <w:rFonts w:ascii="Tahoma" w:hAnsi="Tahoma" w:cs="Tahoma"/>
          <w:iCs/>
          <w:sz w:val="20"/>
          <w:szCs w:val="20"/>
        </w:rPr>
        <w:br/>
        <w:t>k zajištění přípravy a procesu transformace na úrovni kraje.</w:t>
      </w:r>
    </w:p>
    <w:p w14:paraId="666C9984" w14:textId="77777777" w:rsidR="001759E4" w:rsidRDefault="001759E4" w:rsidP="001759E4">
      <w:pPr>
        <w:numPr>
          <w:ilvl w:val="0"/>
          <w:numId w:val="12"/>
        </w:numPr>
        <w:spacing w:line="252" w:lineRule="auto"/>
        <w:jc w:val="both"/>
        <w:rPr>
          <w:rFonts w:ascii="Tahoma" w:hAnsi="Tahoma" w:cs="Tahoma"/>
          <w:iCs/>
          <w:sz w:val="20"/>
          <w:szCs w:val="20"/>
        </w:rPr>
      </w:pPr>
      <w:r>
        <w:rPr>
          <w:rFonts w:ascii="Tahoma" w:hAnsi="Tahoma" w:cs="Tahoma"/>
          <w:iCs/>
          <w:sz w:val="20"/>
          <w:szCs w:val="20"/>
        </w:rPr>
        <w:t xml:space="preserve">Odbornou podporu pro vytvoření transformačních plánů pro zařízení, která chtějí žádat </w:t>
      </w:r>
      <w:r>
        <w:rPr>
          <w:rFonts w:ascii="Tahoma" w:hAnsi="Tahoma" w:cs="Tahoma"/>
          <w:iCs/>
          <w:sz w:val="20"/>
          <w:szCs w:val="20"/>
        </w:rPr>
        <w:br/>
        <w:t>o podporu v rámci výzev NPO, včetně načasování jednotlivých kroků transformace, konzultace výběru nejvhodnějšího modelu transformace pro daná zařízení (financování, personální kapacity, využití budov atd.).</w:t>
      </w:r>
    </w:p>
    <w:p w14:paraId="6F4A38D0" w14:textId="77777777" w:rsidR="001759E4" w:rsidRDefault="001759E4" w:rsidP="001759E4">
      <w:pPr>
        <w:numPr>
          <w:ilvl w:val="0"/>
          <w:numId w:val="12"/>
        </w:numPr>
        <w:spacing w:line="252" w:lineRule="auto"/>
        <w:jc w:val="both"/>
        <w:rPr>
          <w:rFonts w:ascii="Tahoma" w:eastAsia="Times New Roman" w:hAnsi="Tahoma" w:cs="Tahoma"/>
          <w:sz w:val="20"/>
          <w:szCs w:val="20"/>
        </w:rPr>
      </w:pPr>
      <w:r>
        <w:rPr>
          <w:rFonts w:ascii="Tahoma" w:hAnsi="Tahoma" w:cs="Tahoma"/>
          <w:sz w:val="20"/>
          <w:szCs w:val="20"/>
        </w:rPr>
        <w:t>Podporu samotného procesu transformace, odborné konzultace, vzdělávání a vedení zapojených aktérů, předávání příkladů dobré praxe, zprostředkování exkurze do již ztransformovaných zařízení v ČR, podporu v orientaci v legislativním ukotvení péče o děti v transformovaných zařízeních (související předpisy a vyhlášky).</w:t>
      </w:r>
    </w:p>
    <w:p w14:paraId="0D7277EE" w14:textId="77777777" w:rsidR="001759E4" w:rsidRDefault="001759E4" w:rsidP="00783BA1">
      <w:pPr>
        <w:spacing w:before="120"/>
        <w:jc w:val="both"/>
        <w:rPr>
          <w:rFonts w:ascii="Tahoma" w:hAnsi="Tahoma" w:cs="Tahoma"/>
          <w:sz w:val="20"/>
          <w:szCs w:val="20"/>
        </w:rPr>
      </w:pPr>
      <w:r>
        <w:rPr>
          <w:rFonts w:ascii="Tahoma" w:hAnsi="Tahoma" w:cs="Tahoma"/>
          <w:sz w:val="20"/>
          <w:szCs w:val="20"/>
        </w:rPr>
        <w:t xml:space="preserve">Vzhledem k tomu, že příprava žádostí do NPO byla prioritou dosavadní spolupráce, bude do konce roku 2024 zpracována pouze analytická část. Strategická část dokumentu bude zpracována v příštím roce. </w:t>
      </w:r>
    </w:p>
    <w:p w14:paraId="7B6F9C61" w14:textId="77777777" w:rsidR="001759E4" w:rsidRDefault="001759E4" w:rsidP="00783BA1">
      <w:pPr>
        <w:jc w:val="both"/>
        <w:rPr>
          <w:rFonts w:ascii="Tahoma" w:hAnsi="Tahoma" w:cs="Tahoma"/>
          <w:sz w:val="20"/>
          <w:szCs w:val="20"/>
        </w:rPr>
      </w:pPr>
      <w:r>
        <w:rPr>
          <w:rFonts w:ascii="Tahoma" w:hAnsi="Tahoma" w:cs="Tahoma"/>
          <w:sz w:val="20"/>
          <w:szCs w:val="20"/>
        </w:rPr>
        <w:t xml:space="preserve">Zpracovávaný strategický dokument by měl navrhnout kroky, díky kterým by se co nejmenší počet dětí dostával do pobytových zařízení a v případě umístění byla šance život prožít v komunitní skupině </w:t>
      </w:r>
      <w:r>
        <w:rPr>
          <w:rFonts w:ascii="Tahoma" w:hAnsi="Tahoma" w:cs="Tahoma"/>
          <w:sz w:val="20"/>
          <w:szCs w:val="20"/>
        </w:rPr>
        <w:br/>
        <w:t xml:space="preserve">s podobnými podmínkami jako v běžném životě a v běžné zástavbě. Současně by měl obsahovat další kroky, neboť pořízení prvních nemovitostí z NPO a přemístění časti dětí do komunitního bydlení je pouze přechodný stav.  </w:t>
      </w:r>
    </w:p>
    <w:p w14:paraId="03CF3AEA" w14:textId="77777777" w:rsidR="001759E4" w:rsidRDefault="001759E4" w:rsidP="00783BA1">
      <w:pPr>
        <w:jc w:val="both"/>
        <w:rPr>
          <w:rFonts w:ascii="Tahoma" w:hAnsi="Tahoma" w:cs="Tahoma"/>
          <w:sz w:val="20"/>
          <w:szCs w:val="20"/>
        </w:rPr>
      </w:pPr>
    </w:p>
    <w:p w14:paraId="4013D848" w14:textId="77777777" w:rsidR="001759E4" w:rsidRDefault="001759E4" w:rsidP="00783BA1">
      <w:pPr>
        <w:jc w:val="both"/>
        <w:rPr>
          <w:rFonts w:ascii="Tahoma" w:hAnsi="Tahoma" w:cs="Tahoma"/>
          <w:b/>
          <w:bCs/>
          <w:sz w:val="20"/>
          <w:szCs w:val="20"/>
        </w:rPr>
      </w:pPr>
      <w:r>
        <w:rPr>
          <w:rFonts w:ascii="Tahoma" w:hAnsi="Tahoma" w:cs="Tahoma"/>
          <w:b/>
          <w:bCs/>
          <w:sz w:val="20"/>
          <w:szCs w:val="20"/>
        </w:rPr>
        <w:t xml:space="preserve">Finanční prostředky darované Nadací J&amp;T na jednotlivé činnosti nebyly v tuto chvíli vyčerpány </w:t>
      </w:r>
      <w:r>
        <w:rPr>
          <w:rFonts w:ascii="Tahoma" w:hAnsi="Tahoma" w:cs="Tahoma"/>
          <w:b/>
          <w:bCs/>
          <w:sz w:val="20"/>
          <w:szCs w:val="20"/>
        </w:rPr>
        <w:br/>
        <w:t>a je proto žádoucí prodloužit dobu spolupráce o další rok, z tohoto důvodu žádáme o schválení Dodatku smlouvy s prodloužením do 31.12.2025 s finančním čerpáním dle tabulky č. 1 s názvem „Aktualizovaný rozpočet: Období od 1. 1. 2024 do 31. 12. 2025“.</w:t>
      </w:r>
    </w:p>
    <w:p w14:paraId="545D219D" w14:textId="77777777" w:rsidR="001759E4" w:rsidRDefault="001759E4" w:rsidP="00783BA1">
      <w:pPr>
        <w:spacing w:after="120"/>
        <w:jc w:val="both"/>
        <w:rPr>
          <w:rFonts w:ascii="Tahoma" w:eastAsia="Times New Roman" w:hAnsi="Tahoma" w:cs="Tahoma"/>
          <w:sz w:val="20"/>
          <w:szCs w:val="20"/>
          <w:lang w:eastAsia="cs-CZ"/>
        </w:rPr>
      </w:pPr>
    </w:p>
    <w:p w14:paraId="13DF6D9D" w14:textId="77777777" w:rsidR="001759E4" w:rsidRDefault="001759E4" w:rsidP="00783BA1">
      <w:pPr>
        <w:spacing w:after="120"/>
        <w:jc w:val="both"/>
        <w:rPr>
          <w:rFonts w:ascii="Tahoma" w:eastAsia="Times New Roman" w:hAnsi="Tahoma" w:cs="Tahoma"/>
          <w:b/>
          <w:bCs/>
          <w:sz w:val="20"/>
          <w:szCs w:val="20"/>
          <w:u w:val="single"/>
          <w:lang w:eastAsia="cs-CZ"/>
        </w:rPr>
      </w:pPr>
      <w:r>
        <w:rPr>
          <w:rFonts w:ascii="Tahoma" w:eastAsia="Times New Roman" w:hAnsi="Tahoma" w:cs="Tahoma"/>
          <w:b/>
          <w:bCs/>
          <w:sz w:val="20"/>
          <w:szCs w:val="20"/>
          <w:u w:val="single"/>
          <w:lang w:eastAsia="cs-CZ"/>
        </w:rPr>
        <w:t>Rekapitulace dosavadních kroků:</w:t>
      </w:r>
    </w:p>
    <w:p w14:paraId="7D7CD0E3" w14:textId="77777777" w:rsidR="001759E4" w:rsidRDefault="001759E4" w:rsidP="00783BA1">
      <w:pPr>
        <w:spacing w:after="120"/>
        <w:jc w:val="both"/>
        <w:rPr>
          <w:rFonts w:ascii="Tahoma" w:eastAsia="Times New Roman" w:hAnsi="Tahoma" w:cs="Tahoma"/>
          <w:b/>
          <w:bCs/>
          <w:sz w:val="20"/>
          <w:szCs w:val="20"/>
          <w:u w:val="single"/>
          <w:lang w:eastAsia="cs-CZ"/>
        </w:rPr>
      </w:pPr>
      <w:r>
        <w:rPr>
          <w:rFonts w:ascii="Tahoma" w:eastAsia="Times New Roman" w:hAnsi="Tahoma" w:cs="Tahoma"/>
          <w:sz w:val="20"/>
          <w:szCs w:val="20"/>
          <w:lang w:eastAsia="cs-CZ"/>
        </w:rPr>
        <w:t>Jihočeský kraj se vydal cestou transformace svých zařízení pro výkon ústavní výchovy. Snaha povýšit kvalitu pobytu dětí umístěných v dětských domovech (dále jen DD) Jihočeského kraje vedla OŠMT k navázání užší spolupráce s OSOV. Na základě sdílení dobré praxe z jiných krajů oslovil OŠMT Nadaci J&amp;T, která se problematikou transformace péče o ohrožené děti dlouhodobě zabývá.</w:t>
      </w:r>
    </w:p>
    <w:p w14:paraId="38667ECA" w14:textId="77777777" w:rsidR="001759E4" w:rsidRDefault="001759E4" w:rsidP="00783BA1">
      <w:pPr>
        <w:jc w:val="both"/>
        <w:rPr>
          <w:rFonts w:ascii="Tahoma" w:eastAsia="Times New Roman" w:hAnsi="Tahoma" w:cs="Tahoma"/>
          <w:sz w:val="20"/>
          <w:szCs w:val="20"/>
          <w:lang w:eastAsia="cs-CZ"/>
        </w:rPr>
      </w:pPr>
      <w:r>
        <w:rPr>
          <w:rFonts w:ascii="Tahoma" w:eastAsia="Times New Roman" w:hAnsi="Tahoma" w:cs="Tahoma"/>
          <w:sz w:val="20"/>
          <w:szCs w:val="20"/>
          <w:lang w:eastAsia="cs-CZ"/>
        </w:rPr>
        <w:t xml:space="preserve">Dne 7. 6. 2023 proběhlo první jednání na téma transformace Dětských domovů mezi OŠMT a Nadací J&amp;T, na kterém byly projednány možnosti vzájemné spolupráce. </w:t>
      </w:r>
      <w:bookmarkStart w:id="3" w:name="_Hlk140040040"/>
      <w:r>
        <w:rPr>
          <w:rFonts w:ascii="Tahoma" w:eastAsia="Times New Roman" w:hAnsi="Tahoma" w:cs="Tahoma"/>
          <w:sz w:val="20"/>
          <w:szCs w:val="20"/>
          <w:lang w:eastAsia="cs-CZ"/>
        </w:rPr>
        <w:t xml:space="preserve">Nadace J&amp;T </w:t>
      </w:r>
      <w:bookmarkEnd w:id="3"/>
      <w:r>
        <w:rPr>
          <w:rFonts w:ascii="Tahoma" w:eastAsia="Times New Roman" w:hAnsi="Tahoma" w:cs="Tahoma"/>
          <w:sz w:val="20"/>
          <w:szCs w:val="20"/>
          <w:lang w:eastAsia="cs-CZ"/>
        </w:rPr>
        <w:t xml:space="preserve">je zakladatelkou iniciativy 8000důvodů, která se dlouhodobě věnuje tématice ohrožených dětí a již řadu let spolupracuje s různými kraji, a to jak v oblasti sociálních věcí, tak i školství – nejčastěji v oblasti transformace DD. Má zkušenosti např. ze spolupráce s krajem Moravskoslezským, Pardubickým, Královehradeckým, Karlovarským, Olomouckým, Libereckým, Vysočinou a Prahou. Byla domluvena možná spolupráce na úrovni tvorby strategického dokumentu kraje v oblasti péče o ohrožené děti a následná pomoc v procesu samotné transformace jednotlivých vytipovaných zařízení. </w:t>
      </w:r>
    </w:p>
    <w:p w14:paraId="4F1ADBA1" w14:textId="77777777" w:rsidR="001759E4" w:rsidRDefault="001759E4" w:rsidP="00783BA1">
      <w:pPr>
        <w:jc w:val="both"/>
        <w:rPr>
          <w:rFonts w:ascii="Tahoma" w:eastAsia="Times New Roman" w:hAnsi="Tahoma" w:cs="Tahoma"/>
          <w:sz w:val="20"/>
          <w:szCs w:val="20"/>
        </w:rPr>
      </w:pPr>
    </w:p>
    <w:p w14:paraId="54689DEF" w14:textId="77777777" w:rsidR="001759E4" w:rsidRDefault="001759E4" w:rsidP="00783BA1">
      <w:pPr>
        <w:jc w:val="both"/>
        <w:rPr>
          <w:rFonts w:ascii="Tahoma" w:hAnsi="Tahoma" w:cs="Tahoma"/>
          <w:sz w:val="20"/>
          <w:szCs w:val="20"/>
        </w:rPr>
      </w:pPr>
      <w:r>
        <w:rPr>
          <w:rFonts w:ascii="Tahoma" w:hAnsi="Tahoma" w:cs="Tahoma"/>
          <w:sz w:val="20"/>
          <w:szCs w:val="20"/>
        </w:rPr>
        <w:t xml:space="preserve">Dne 10. 11. 2023 obdržel OŠMT informaci o plánovaných výzvách Národního plánu obnovy. Jedná se o výzvy </w:t>
      </w:r>
      <w:r>
        <w:rPr>
          <w:rFonts w:ascii="Tahoma" w:hAnsi="Tahoma" w:cs="Tahoma"/>
          <w:sz w:val="20"/>
          <w:szCs w:val="20"/>
        </w:rPr>
        <w:br/>
        <w:t>k předkládání projektů s cílem snížit počet dětí žijících ve velkokapacitních pobytových zařízeních kolektivního typu. Díky těmto výzvám může kraj vybudovat síť pobytových zařízení komunitního typu a transformovat některá svá zařízení bez vynaložení většího množství vlastních finančních prostředků (podpora je poskytována formou 100% dotace, DPH je nezpůsobilým výdajem projektu).</w:t>
      </w:r>
    </w:p>
    <w:p w14:paraId="4C7FA99F" w14:textId="77777777" w:rsidR="001759E4" w:rsidRDefault="001759E4" w:rsidP="00783BA1">
      <w:pPr>
        <w:jc w:val="both"/>
        <w:rPr>
          <w:rFonts w:ascii="Tahoma" w:eastAsia="Times New Roman" w:hAnsi="Tahoma" w:cs="Tahoma"/>
          <w:sz w:val="20"/>
          <w:szCs w:val="20"/>
        </w:rPr>
      </w:pPr>
    </w:p>
    <w:p w14:paraId="589B23C2" w14:textId="77777777" w:rsidR="001759E4" w:rsidRDefault="001759E4" w:rsidP="00783BA1">
      <w:pPr>
        <w:jc w:val="both"/>
        <w:rPr>
          <w:rFonts w:ascii="Tahoma" w:hAnsi="Tahoma" w:cs="Tahoma"/>
          <w:sz w:val="20"/>
          <w:szCs w:val="20"/>
        </w:rPr>
      </w:pPr>
      <w:r>
        <w:rPr>
          <w:rFonts w:ascii="Tahoma" w:hAnsi="Tahoma" w:cs="Tahoma"/>
          <w:sz w:val="20"/>
          <w:szCs w:val="20"/>
        </w:rPr>
        <w:t>OŠMT a OSOV reagovaly na nastalou situaci setkáním s řediteli dětských domovů zřizovaných Jihočeským krajem spolu s pracovníky Nadace J&amp;T. Na tomto setkání došlo k vzájemné shodě, kdy prioritou pro první měsíce spolupráce bude příprava žádostí pro 4 dětské domovy ze 7 zřizovaných krajem (DD Boršov nad Vltavou, DD Horní Planá, DD Radenín a DD Písek) do výzev NPO na nákup nemovitostí (domů a bytů) pro přesun některých rodinných skupin ze stávajících velkokapacitních budov DD.</w:t>
      </w:r>
    </w:p>
    <w:p w14:paraId="52B7B200" w14:textId="77777777" w:rsidR="001759E4" w:rsidRDefault="001759E4" w:rsidP="00783BA1">
      <w:pPr>
        <w:spacing w:before="100" w:beforeAutospacing="1" w:after="100" w:afterAutospacing="1"/>
        <w:jc w:val="both"/>
        <w:rPr>
          <w:rFonts w:ascii="Tahoma" w:eastAsia="Aptos" w:hAnsi="Tahoma" w:cs="Tahoma"/>
          <w:sz w:val="20"/>
          <w:szCs w:val="20"/>
          <w:lang w:eastAsia="cs-CZ"/>
        </w:rPr>
      </w:pPr>
      <w:r>
        <w:rPr>
          <w:rFonts w:ascii="Tahoma" w:eastAsia="Aptos" w:hAnsi="Tahoma" w:cs="Tahoma"/>
          <w:sz w:val="20"/>
          <w:szCs w:val="20"/>
          <w:lang w:eastAsia="cs-CZ"/>
        </w:rPr>
        <w:t>Dne 22. 1. 2024 byly vyhlášeny ze strany MPSV výzvy č. 113 a č. 114, které se týkají prioritně transformace DD. Dle plánu se do projektu zapojily 4 dětské domovy. Do současné doby je prioritou podpora těchto 4 DD v podání žádosti do NPO a nákup nových objektů pro děti. Jedná se o DD Boršov, DD Horní Planá, DD Radenín, DD Písek.</w:t>
      </w:r>
    </w:p>
    <w:p w14:paraId="6C3492BF" w14:textId="77777777" w:rsidR="001759E4" w:rsidRDefault="001759E4" w:rsidP="00783BA1">
      <w:pPr>
        <w:jc w:val="both"/>
        <w:rPr>
          <w:rFonts w:ascii="Tahoma" w:eastAsia="Times New Roman" w:hAnsi="Tahoma" w:cs="Tahoma"/>
          <w:sz w:val="20"/>
          <w:szCs w:val="20"/>
        </w:rPr>
      </w:pPr>
      <w:r>
        <w:rPr>
          <w:rFonts w:ascii="Tahoma" w:hAnsi="Tahoma" w:cs="Tahoma"/>
          <w:sz w:val="20"/>
          <w:szCs w:val="20"/>
        </w:rPr>
        <w:t>Během měsíce února byly vytipované objekty ke koupi, a sice:</w:t>
      </w:r>
    </w:p>
    <w:p w14:paraId="37EEA70B" w14:textId="77777777" w:rsidR="001759E4" w:rsidRDefault="001759E4" w:rsidP="00783BA1">
      <w:pPr>
        <w:jc w:val="both"/>
        <w:rPr>
          <w:rFonts w:ascii="Tahoma" w:hAnsi="Tahoma" w:cs="Tahoma"/>
          <w:sz w:val="20"/>
          <w:szCs w:val="20"/>
        </w:rPr>
      </w:pPr>
      <w:r>
        <w:rPr>
          <w:rFonts w:ascii="Tahoma" w:hAnsi="Tahoma" w:cs="Tahoma"/>
          <w:sz w:val="20"/>
          <w:szCs w:val="20"/>
        </w:rPr>
        <w:t>DD Boršov – dva byty v Českých Budějovicích</w:t>
      </w:r>
    </w:p>
    <w:p w14:paraId="598B1C00" w14:textId="77777777" w:rsidR="001759E4" w:rsidRDefault="001759E4" w:rsidP="00783BA1">
      <w:pPr>
        <w:jc w:val="both"/>
        <w:rPr>
          <w:rFonts w:ascii="Tahoma" w:hAnsi="Tahoma" w:cs="Tahoma"/>
          <w:sz w:val="20"/>
          <w:szCs w:val="20"/>
        </w:rPr>
      </w:pPr>
      <w:r>
        <w:rPr>
          <w:rFonts w:ascii="Tahoma" w:hAnsi="Tahoma" w:cs="Tahoma"/>
          <w:sz w:val="20"/>
          <w:szCs w:val="20"/>
        </w:rPr>
        <w:t>DD Horní Planá – dům v Českém Krumlově</w:t>
      </w:r>
    </w:p>
    <w:p w14:paraId="48BDFF05" w14:textId="77777777" w:rsidR="001759E4" w:rsidRDefault="001759E4" w:rsidP="00783BA1">
      <w:pPr>
        <w:jc w:val="both"/>
        <w:rPr>
          <w:rFonts w:ascii="Tahoma" w:hAnsi="Tahoma" w:cs="Tahoma"/>
          <w:sz w:val="20"/>
          <w:szCs w:val="20"/>
        </w:rPr>
      </w:pPr>
      <w:r>
        <w:rPr>
          <w:rFonts w:ascii="Tahoma" w:hAnsi="Tahoma" w:cs="Tahoma"/>
          <w:sz w:val="20"/>
          <w:szCs w:val="20"/>
        </w:rPr>
        <w:t>DD Radenín – dům v Soběslavy a dům v Bechyni</w:t>
      </w:r>
    </w:p>
    <w:p w14:paraId="3BED468C" w14:textId="77777777" w:rsidR="001759E4" w:rsidRDefault="001759E4" w:rsidP="00783BA1">
      <w:pPr>
        <w:jc w:val="both"/>
        <w:rPr>
          <w:rFonts w:ascii="Tahoma" w:hAnsi="Tahoma" w:cs="Tahoma"/>
          <w:sz w:val="20"/>
          <w:szCs w:val="20"/>
        </w:rPr>
      </w:pPr>
      <w:r>
        <w:rPr>
          <w:rFonts w:ascii="Tahoma" w:hAnsi="Tahoma" w:cs="Tahoma"/>
          <w:sz w:val="20"/>
          <w:szCs w:val="20"/>
        </w:rPr>
        <w:t>DD Písek – byt a dům v Písku</w:t>
      </w:r>
    </w:p>
    <w:p w14:paraId="18B839A3" w14:textId="77777777" w:rsidR="001759E4" w:rsidRDefault="001759E4" w:rsidP="00783BA1">
      <w:pPr>
        <w:jc w:val="both"/>
        <w:rPr>
          <w:rFonts w:ascii="Tahoma" w:hAnsi="Tahoma" w:cs="Tahoma"/>
          <w:sz w:val="20"/>
          <w:szCs w:val="20"/>
        </w:rPr>
      </w:pPr>
    </w:p>
    <w:p w14:paraId="6E87CE58" w14:textId="77777777" w:rsidR="001759E4" w:rsidRDefault="001759E4" w:rsidP="00783BA1">
      <w:pPr>
        <w:jc w:val="both"/>
        <w:rPr>
          <w:rFonts w:ascii="Tahoma" w:hAnsi="Tahoma" w:cs="Tahoma"/>
          <w:sz w:val="20"/>
          <w:szCs w:val="20"/>
        </w:rPr>
      </w:pPr>
      <w:r>
        <w:rPr>
          <w:rFonts w:ascii="Tahoma" w:hAnsi="Tahoma" w:cs="Tahoma"/>
          <w:sz w:val="20"/>
          <w:szCs w:val="20"/>
        </w:rPr>
        <w:t xml:space="preserve">Parametry objektů byly konzultovány s Nadací </w:t>
      </w:r>
      <w:bookmarkStart w:id="4" w:name="_Hlk174521806"/>
      <w:r>
        <w:rPr>
          <w:rFonts w:ascii="Tahoma" w:hAnsi="Tahoma" w:cs="Tahoma"/>
          <w:sz w:val="20"/>
          <w:szCs w:val="20"/>
        </w:rPr>
        <w:t>J&amp;T</w:t>
      </w:r>
      <w:bookmarkEnd w:id="4"/>
      <w:r>
        <w:rPr>
          <w:rFonts w:ascii="Tahoma" w:hAnsi="Tahoma" w:cs="Tahoma"/>
          <w:sz w:val="20"/>
          <w:szCs w:val="20"/>
        </w:rPr>
        <w:t xml:space="preserve">, MPSV i pracovníky z OHMS. </w:t>
      </w:r>
    </w:p>
    <w:p w14:paraId="6B0405A5" w14:textId="77777777" w:rsidR="001759E4" w:rsidRDefault="001759E4" w:rsidP="00783BA1">
      <w:pPr>
        <w:jc w:val="both"/>
        <w:rPr>
          <w:rFonts w:ascii="Tahoma" w:hAnsi="Tahoma" w:cs="Tahoma"/>
          <w:sz w:val="20"/>
          <w:szCs w:val="20"/>
        </w:rPr>
      </w:pPr>
      <w:r>
        <w:rPr>
          <w:rFonts w:ascii="Tahoma" w:hAnsi="Tahoma" w:cs="Tahoma"/>
          <w:sz w:val="20"/>
          <w:szCs w:val="20"/>
        </w:rPr>
        <w:t>Byly podepsány smlouvy s Regionální rozvojovou agenturou na zpracování kompletní žádosti o dotaci do Národního plánu obnovy, které je možné podávat do konce roku 2024.</w:t>
      </w:r>
    </w:p>
    <w:p w14:paraId="14597891" w14:textId="77777777" w:rsidR="001759E4" w:rsidRDefault="001759E4" w:rsidP="00783BA1">
      <w:pPr>
        <w:spacing w:before="120"/>
        <w:jc w:val="both"/>
        <w:rPr>
          <w:rFonts w:ascii="Tahoma" w:hAnsi="Tahoma" w:cs="Tahoma"/>
          <w:sz w:val="20"/>
          <w:szCs w:val="20"/>
        </w:rPr>
      </w:pPr>
      <w:r>
        <w:rPr>
          <w:rFonts w:ascii="Tahoma" w:hAnsi="Tahoma" w:cs="Tahoma"/>
          <w:sz w:val="20"/>
          <w:szCs w:val="20"/>
        </w:rPr>
        <w:t xml:space="preserve">Návrh záměru jednotlivých kroků transformace DD byl schválen ZK 22. 2. 2024. Schválení kupních smluv </w:t>
      </w:r>
      <w:r>
        <w:rPr>
          <w:rFonts w:ascii="Tahoma" w:hAnsi="Tahoma" w:cs="Tahoma"/>
          <w:sz w:val="20"/>
          <w:szCs w:val="20"/>
        </w:rPr>
        <w:br/>
        <w:t xml:space="preserve">a uvolnění finančních prostředků z FRR do FRŠ bylo odsouhlaseno ZK 25. 4. 2024. Během května došlo k nákupu vybraných nemovitostí a jejich převedení do majetku Jčk. Současně byly do konce měsíce května zpracovány ve spolupráci s nadaci JT transformační plány, které se odvíjely od konkrétních nemovitostí </w:t>
      </w:r>
      <w:r>
        <w:rPr>
          <w:rFonts w:ascii="Tahoma" w:hAnsi="Tahoma" w:cs="Tahoma"/>
          <w:sz w:val="20"/>
          <w:szCs w:val="20"/>
        </w:rPr>
        <w:br/>
        <w:t xml:space="preserve">a jsou povinou součástí studie proveditelnosti v žádosti do výzev NPO. Součástí projektu je i povinná rekonstrukce nových objektů. Byla vyhlášena veřejná zakázka na zhotovení projektové dokumentace k plánované rekonstrukci. Během měsíce srpna jsou zpracovávány projektové dokumentace, následně bude pro každý DD vybrán zhotovitel rekonstrukce, která by měla proběhnout do konce května roku 2025, aby se následně mohly do nových prostor přemístit děti. </w:t>
      </w:r>
    </w:p>
    <w:p w14:paraId="4772FC43" w14:textId="77777777" w:rsidR="001759E4" w:rsidRDefault="001759E4" w:rsidP="00783BA1">
      <w:pPr>
        <w:spacing w:before="120"/>
        <w:jc w:val="both"/>
        <w:rPr>
          <w:rFonts w:ascii="Tahoma" w:hAnsi="Tahoma" w:cs="Tahoma"/>
          <w:sz w:val="20"/>
          <w:szCs w:val="20"/>
        </w:rPr>
      </w:pPr>
      <w:r>
        <w:rPr>
          <w:rFonts w:ascii="Tahoma" w:hAnsi="Tahoma" w:cs="Tahoma"/>
          <w:sz w:val="20"/>
          <w:szCs w:val="20"/>
        </w:rPr>
        <w:t xml:space="preserve">Zástupce nadace J&amp;T spolu s pracovníky OŠMT několikrát navštívil jednotlivé DD, tak aby byly zmapovány konkrétní potřeby jednotlivých zařízení a vytvořena optimální podpora transformace, pro každé zařízení. </w:t>
      </w:r>
    </w:p>
    <w:p w14:paraId="214468EA" w14:textId="77777777" w:rsidR="001759E4" w:rsidRDefault="001759E4" w:rsidP="00783BA1">
      <w:pPr>
        <w:spacing w:before="120"/>
        <w:jc w:val="both"/>
        <w:rPr>
          <w:rFonts w:ascii="Tahoma" w:hAnsi="Tahoma" w:cs="Tahoma"/>
          <w:sz w:val="20"/>
          <w:szCs w:val="20"/>
        </w:rPr>
      </w:pPr>
      <w:r>
        <w:rPr>
          <w:rFonts w:ascii="Tahoma" w:hAnsi="Tahoma" w:cs="Tahoma"/>
          <w:sz w:val="20"/>
          <w:szCs w:val="20"/>
        </w:rPr>
        <w:t>Mgr. Kristýna Jůzová Kotalová řeší za Nadaci J&amp;T S DD další konkrétní kroky transformace</w:t>
      </w:r>
      <w:r>
        <w:rPr>
          <w:rFonts w:ascii="Tahoma" w:hAnsi="Tahoma" w:cs="Tahoma"/>
          <w:b/>
          <w:bCs/>
          <w:sz w:val="20"/>
          <w:szCs w:val="20"/>
        </w:rPr>
        <w:t xml:space="preserve"> – výběr vhodných dětí pro přemístění, komunikaci s OSPODy, plán školení zaměstnanců a následná příprava dětí pro přemístění, podpora v práci s místní komunitou, tak aby byly děti v novém domově přijaty.  </w:t>
      </w:r>
    </w:p>
    <w:p w14:paraId="587992ED" w14:textId="77777777" w:rsidR="001759E4" w:rsidRDefault="001759E4" w:rsidP="00783BA1">
      <w:pPr>
        <w:spacing w:before="120"/>
        <w:jc w:val="both"/>
        <w:rPr>
          <w:rFonts w:ascii="Tahoma" w:hAnsi="Tahoma" w:cs="Tahoma"/>
          <w:b/>
          <w:sz w:val="20"/>
          <w:szCs w:val="20"/>
        </w:rPr>
      </w:pPr>
      <w:r>
        <w:rPr>
          <w:rFonts w:ascii="Tahoma" w:hAnsi="Tahoma" w:cs="Tahoma"/>
          <w:b/>
          <w:bCs/>
          <w:sz w:val="20"/>
          <w:szCs w:val="20"/>
        </w:rPr>
        <w:t xml:space="preserve">Jednotlivé DD budou podávat žádosti o podporu do NPO do konce roku 2024. </w:t>
      </w:r>
    </w:p>
    <w:p w14:paraId="4B067799" w14:textId="77777777" w:rsidR="001759E4" w:rsidRDefault="001759E4" w:rsidP="00783BA1">
      <w:pPr>
        <w:spacing w:before="120"/>
        <w:jc w:val="both"/>
        <w:rPr>
          <w:rFonts w:ascii="Tahoma" w:hAnsi="Tahoma" w:cs="Tahoma"/>
          <w:sz w:val="20"/>
          <w:szCs w:val="20"/>
        </w:rPr>
      </w:pPr>
      <w:r>
        <w:rPr>
          <w:rFonts w:ascii="Tahoma" w:hAnsi="Tahoma" w:cs="Tahoma"/>
          <w:sz w:val="20"/>
          <w:szCs w:val="20"/>
        </w:rPr>
        <w:t xml:space="preserve">Kromě podpory transformace jednotlivých DD se nezapomíná ani na celkovou Analýzu systému péče </w:t>
      </w:r>
      <w:r>
        <w:rPr>
          <w:rFonts w:ascii="Tahoma" w:hAnsi="Tahoma" w:cs="Tahoma"/>
          <w:sz w:val="20"/>
          <w:szCs w:val="20"/>
        </w:rPr>
        <w:br/>
        <w:t xml:space="preserve">o ohrožené děti se zaměřením na potřeby dětí umístěných v zařízeních ústavní výchovy a na kapacity </w:t>
      </w:r>
      <w:r>
        <w:rPr>
          <w:rFonts w:ascii="Tahoma" w:hAnsi="Tahoma" w:cs="Tahoma"/>
          <w:sz w:val="20"/>
          <w:szCs w:val="20"/>
        </w:rPr>
        <w:br/>
        <w:t xml:space="preserve">a možnosti transformace zařízení pro výkon ústavní výchovy v JČ kraji. Je již započata analytická </w:t>
      </w:r>
      <w:r>
        <w:rPr>
          <w:rFonts w:ascii="Tahoma" w:hAnsi="Tahoma" w:cs="Tahoma"/>
          <w:sz w:val="20"/>
          <w:szCs w:val="20"/>
        </w:rPr>
        <w:br/>
        <w:t xml:space="preserve">a strategická práce na tvorbě dokumentu kraje k procesu zajištění péče o ohrožené děti. </w:t>
      </w:r>
    </w:p>
    <w:p w14:paraId="5226F8D4" w14:textId="77777777" w:rsidR="001759E4" w:rsidRDefault="001759E4" w:rsidP="00783BA1">
      <w:pPr>
        <w:jc w:val="both"/>
        <w:rPr>
          <w:rFonts w:ascii="Tahoma" w:hAnsi="Tahoma" w:cs="Tahoma"/>
          <w:sz w:val="20"/>
          <w:szCs w:val="20"/>
        </w:rPr>
      </w:pPr>
    </w:p>
    <w:p w14:paraId="3C24CB76" w14:textId="77777777" w:rsidR="001759E4" w:rsidRDefault="001759E4" w:rsidP="00783BA1">
      <w:pPr>
        <w:jc w:val="both"/>
        <w:rPr>
          <w:rFonts w:ascii="Tahoma" w:hAnsi="Tahoma" w:cs="Tahoma"/>
          <w:sz w:val="20"/>
          <w:szCs w:val="20"/>
        </w:rPr>
      </w:pPr>
      <w:r>
        <w:rPr>
          <w:rFonts w:ascii="Tahoma" w:hAnsi="Tahoma" w:cs="Tahoma"/>
          <w:sz w:val="20"/>
          <w:szCs w:val="20"/>
        </w:rPr>
        <w:t xml:space="preserve">Dle současného harmonogramu by se měly děti do nového domova přemístit během měsíců května a června roku 2025. Z toho důvodu nedošlo ještě k čerpání prostředků na přípravu dětí, neboť by bylo zbytečné realizovat tyto činnosti s tak velkým předstihem, kdy je efektivnější načasovat tyto aktivity až těsně před plánovaným přemístěním. Obdobné je to s přípravou zaměstnanců. První školení je plánováno na září a říjen s tím, že vzdělávání a příprava budou gradovat na jaře 2025, stejně tak jako práce s novou komunitou. </w:t>
      </w:r>
    </w:p>
    <w:p w14:paraId="6A9E3DAA" w14:textId="77777777" w:rsidR="001759E4" w:rsidRDefault="001759E4" w:rsidP="00783BA1">
      <w:pPr>
        <w:jc w:val="both"/>
        <w:rPr>
          <w:rFonts w:ascii="Tahoma" w:hAnsi="Tahoma" w:cs="Tahoma"/>
          <w:sz w:val="20"/>
          <w:szCs w:val="20"/>
        </w:rPr>
      </w:pPr>
    </w:p>
    <w:p w14:paraId="53B08DC1" w14:textId="77777777" w:rsidR="001759E4" w:rsidRDefault="001759E4" w:rsidP="00783BA1">
      <w:pPr>
        <w:jc w:val="both"/>
        <w:rPr>
          <w:rFonts w:ascii="Tahoma" w:hAnsi="Tahoma" w:cs="Tahoma"/>
          <w:sz w:val="20"/>
          <w:szCs w:val="20"/>
        </w:rPr>
      </w:pPr>
      <w:r>
        <w:rPr>
          <w:rFonts w:ascii="Tahoma" w:hAnsi="Tahoma" w:cs="Tahoma"/>
          <w:sz w:val="20"/>
          <w:szCs w:val="20"/>
        </w:rPr>
        <w:t xml:space="preserve">V přiložených tabulkách jsou tučně jsou vyznačeny změny oproti původně plánovanému rozpočtu, kdy se po prvních měsících spolupráce ukázalo, že není potřeba tak vysoký rozpočet na koordinátora transformace, neboť byly některé plánované činnosti koordinátora zajištěny OŠMT (organizace podávání žádostí NOP), dále pak některé aktivity zvládli ředitelé DD samostatně (transformační plány). Původně zamýšlená podoba analýzy systému péče o ohrožené děti v Jihočeském kraji v sobě měla zahrnovat i strategické výstupy. Vzhledem k tomu, že došlo ke snížení finančních prostředků na koordinátora, budou tyto peníze použity na tvorbu samostatné Strategie péče o ohrožené děti a rodiny v Jihočeském kraji, která bude zpracována v roce 2025. </w:t>
      </w:r>
    </w:p>
    <w:p w14:paraId="373B0DA4" w14:textId="77777777" w:rsidR="001759E4" w:rsidRDefault="001759E4" w:rsidP="00783BA1">
      <w:pPr>
        <w:jc w:val="both"/>
        <w:rPr>
          <w:rFonts w:ascii="Tahoma" w:eastAsia="Times New Roman" w:hAnsi="Tahoma" w:cs="Tahoma"/>
          <w:sz w:val="20"/>
          <w:szCs w:val="20"/>
          <w:lang w:eastAsia="cs-CZ"/>
        </w:rPr>
      </w:pPr>
    </w:p>
    <w:p w14:paraId="6F870EF6" w14:textId="77777777" w:rsidR="001759E4" w:rsidRDefault="001759E4" w:rsidP="00783BA1">
      <w:pPr>
        <w:jc w:val="both"/>
        <w:rPr>
          <w:rFonts w:ascii="Tahoma" w:hAnsi="Tahoma" w:cs="Tahoma"/>
          <w:sz w:val="20"/>
          <w:szCs w:val="20"/>
        </w:rPr>
      </w:pPr>
      <w:r>
        <w:rPr>
          <w:rFonts w:ascii="Tahoma" w:hAnsi="Tahoma" w:cs="Tahoma"/>
          <w:sz w:val="20"/>
          <w:szCs w:val="20"/>
        </w:rPr>
        <w:t>Proces transformace DD probíhá ve spolupráci s OSOV. OŠMT a OSOV hodnotí Smlouvu o poskytnutí podpory ze strany Nadace J&amp;T jako výhodnou, neboť pro Jihočeský kraj z této smlouvy neplynou žádné finanční závazky. Podpora, kterou Jihočeský kraj čerpá je v podobě tzv. člověkohodin, tzn. že Nadace J&amp;T platí odborné pracovníky, konzultanty, specialisty a experty, kteří pomáhají Jihočeskému kraji a jím zřizovaným dětským domovům s transformací DD.</w:t>
      </w:r>
    </w:p>
    <w:p w14:paraId="2B55F106" w14:textId="77777777" w:rsidR="001759E4" w:rsidRDefault="001759E4" w:rsidP="00783BA1">
      <w:pPr>
        <w:spacing w:after="160" w:line="252" w:lineRule="auto"/>
        <w:jc w:val="both"/>
        <w:rPr>
          <w:rFonts w:ascii="Tahoma" w:hAnsi="Tahoma" w:cs="Tahoma"/>
          <w:b/>
          <w:bCs/>
          <w:sz w:val="20"/>
          <w:szCs w:val="20"/>
        </w:rPr>
      </w:pPr>
    </w:p>
    <w:p w14:paraId="1B0C3E2F" w14:textId="77777777" w:rsidR="001759E4" w:rsidRDefault="001759E4" w:rsidP="00783BA1">
      <w:pPr>
        <w:spacing w:after="160" w:line="252" w:lineRule="auto"/>
        <w:jc w:val="both"/>
        <w:rPr>
          <w:rFonts w:ascii="Tahoma" w:hAnsi="Tahoma" w:cs="Tahoma"/>
          <w:b/>
          <w:bCs/>
          <w:sz w:val="20"/>
          <w:szCs w:val="20"/>
        </w:rPr>
      </w:pPr>
      <w:r>
        <w:rPr>
          <w:rFonts w:ascii="Tahoma" w:hAnsi="Tahoma" w:cs="Tahoma"/>
          <w:b/>
          <w:bCs/>
          <w:sz w:val="20"/>
          <w:szCs w:val="20"/>
        </w:rPr>
        <w:t>Tabulka č. 1 Plánovaný rozpočet: Období od 1. 1. 2024 do 31. 12. 2024</w:t>
      </w:r>
    </w:p>
    <w:tbl>
      <w:tblPr>
        <w:tblW w:w="9776" w:type="dxa"/>
        <w:tblCellMar>
          <w:left w:w="70" w:type="dxa"/>
          <w:right w:w="70" w:type="dxa"/>
        </w:tblCellMar>
        <w:tblLook w:val="04A0" w:firstRow="1" w:lastRow="0" w:firstColumn="1" w:lastColumn="0" w:noHBand="0" w:noVBand="1"/>
      </w:tblPr>
      <w:tblGrid>
        <w:gridCol w:w="3580"/>
        <w:gridCol w:w="1377"/>
        <w:gridCol w:w="4819"/>
      </w:tblGrid>
      <w:tr w:rsidR="001759E4" w14:paraId="23159FDF" w14:textId="77777777" w:rsidTr="00783BA1">
        <w:trPr>
          <w:trHeight w:val="290"/>
          <w:tblHeader/>
        </w:trPr>
        <w:tc>
          <w:tcPr>
            <w:tcW w:w="3580" w:type="dxa"/>
            <w:tcBorders>
              <w:top w:val="single" w:sz="4" w:space="0" w:color="auto"/>
              <w:left w:val="single" w:sz="4" w:space="0" w:color="auto"/>
              <w:bottom w:val="single" w:sz="4" w:space="0" w:color="auto"/>
              <w:right w:val="single" w:sz="4" w:space="0" w:color="auto"/>
            </w:tcBorders>
            <w:hideMark/>
          </w:tcPr>
          <w:p w14:paraId="3FBA6418" w14:textId="77777777" w:rsidR="001759E4" w:rsidRDefault="001759E4">
            <w:pPr>
              <w:spacing w:line="276" w:lineRule="auto"/>
              <w:jc w:val="both"/>
              <w:rPr>
                <w:rFonts w:ascii="Calibri" w:hAnsi="Calibri" w:cs="Calibri"/>
                <w:b/>
                <w:color w:val="000000"/>
                <w:kern w:val="2"/>
                <w:sz w:val="22"/>
              </w:rPr>
            </w:pPr>
            <w:r>
              <w:rPr>
                <w:rFonts w:ascii="Calibri" w:hAnsi="Calibri" w:cs="Calibri"/>
                <w:color w:val="000000"/>
                <w:kern w:val="2"/>
                <w:sz w:val="22"/>
              </w:rPr>
              <w:t> </w:t>
            </w:r>
            <w:r>
              <w:rPr>
                <w:rFonts w:ascii="Calibri" w:hAnsi="Calibri" w:cs="Calibri"/>
                <w:b/>
                <w:color w:val="000000"/>
                <w:kern w:val="2"/>
                <w:sz w:val="22"/>
              </w:rPr>
              <w:t>ČINNOSTI</w:t>
            </w:r>
          </w:p>
        </w:tc>
        <w:tc>
          <w:tcPr>
            <w:tcW w:w="1377" w:type="dxa"/>
            <w:tcBorders>
              <w:top w:val="single" w:sz="4" w:space="0" w:color="auto"/>
              <w:left w:val="nil"/>
              <w:bottom w:val="single" w:sz="4" w:space="0" w:color="auto"/>
              <w:right w:val="single" w:sz="4" w:space="0" w:color="auto"/>
            </w:tcBorders>
            <w:noWrap/>
            <w:hideMark/>
          </w:tcPr>
          <w:p w14:paraId="6C9ED072" w14:textId="77777777" w:rsidR="001759E4" w:rsidRDefault="001759E4">
            <w:pPr>
              <w:spacing w:line="276" w:lineRule="auto"/>
              <w:jc w:val="both"/>
              <w:rPr>
                <w:rFonts w:ascii="Calibri" w:hAnsi="Calibri" w:cs="Calibri"/>
                <w:b/>
                <w:bCs/>
                <w:color w:val="000000"/>
                <w:kern w:val="2"/>
                <w:sz w:val="22"/>
                <w:szCs w:val="24"/>
              </w:rPr>
            </w:pPr>
            <w:r>
              <w:rPr>
                <w:rFonts w:ascii="Calibri" w:hAnsi="Calibri" w:cs="Calibri"/>
                <w:b/>
                <w:bCs/>
                <w:color w:val="000000"/>
                <w:kern w:val="2"/>
                <w:sz w:val="22"/>
              </w:rPr>
              <w:t>NÁKLADY</w:t>
            </w:r>
          </w:p>
        </w:tc>
        <w:tc>
          <w:tcPr>
            <w:tcW w:w="4819" w:type="dxa"/>
            <w:tcBorders>
              <w:top w:val="single" w:sz="4" w:space="0" w:color="auto"/>
              <w:left w:val="nil"/>
              <w:bottom w:val="single" w:sz="4" w:space="0" w:color="auto"/>
              <w:right w:val="single" w:sz="4" w:space="0" w:color="auto"/>
            </w:tcBorders>
            <w:noWrap/>
            <w:hideMark/>
          </w:tcPr>
          <w:p w14:paraId="23AF9C8D" w14:textId="77777777" w:rsidR="001759E4" w:rsidRDefault="001759E4">
            <w:pPr>
              <w:spacing w:line="276" w:lineRule="auto"/>
              <w:jc w:val="both"/>
              <w:rPr>
                <w:rFonts w:ascii="Calibri" w:hAnsi="Calibri" w:cs="Calibri"/>
                <w:b/>
                <w:bCs/>
                <w:color w:val="000000"/>
                <w:kern w:val="2"/>
                <w:sz w:val="22"/>
              </w:rPr>
            </w:pPr>
            <w:r>
              <w:rPr>
                <w:rFonts w:ascii="Calibri" w:hAnsi="Calibri" w:cs="Calibri"/>
                <w:b/>
                <w:bCs/>
                <w:color w:val="000000"/>
                <w:kern w:val="2"/>
                <w:sz w:val="22"/>
              </w:rPr>
              <w:t>POZNÁMKY</w:t>
            </w:r>
          </w:p>
        </w:tc>
      </w:tr>
      <w:tr w:rsidR="001759E4" w14:paraId="68E85F56" w14:textId="77777777" w:rsidTr="00783BA1">
        <w:trPr>
          <w:trHeight w:val="681"/>
        </w:trPr>
        <w:tc>
          <w:tcPr>
            <w:tcW w:w="3580" w:type="dxa"/>
            <w:tcBorders>
              <w:top w:val="nil"/>
              <w:left w:val="single" w:sz="4" w:space="0" w:color="auto"/>
              <w:bottom w:val="single" w:sz="4" w:space="0" w:color="auto"/>
              <w:right w:val="single" w:sz="4" w:space="0" w:color="auto"/>
            </w:tcBorders>
            <w:hideMark/>
          </w:tcPr>
          <w:p w14:paraId="0FA2EEE7"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Analýza systému péče o ohrožené děti v Jihočeském kraji</w:t>
            </w:r>
          </w:p>
        </w:tc>
        <w:tc>
          <w:tcPr>
            <w:tcW w:w="1377" w:type="dxa"/>
            <w:tcBorders>
              <w:top w:val="nil"/>
              <w:left w:val="nil"/>
              <w:bottom w:val="single" w:sz="4" w:space="0" w:color="auto"/>
              <w:right w:val="single" w:sz="4" w:space="0" w:color="auto"/>
            </w:tcBorders>
            <w:noWrap/>
            <w:hideMark/>
          </w:tcPr>
          <w:p w14:paraId="78B3D2EE"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250 000</w:t>
            </w:r>
          </w:p>
        </w:tc>
        <w:tc>
          <w:tcPr>
            <w:tcW w:w="4819" w:type="dxa"/>
            <w:tcBorders>
              <w:top w:val="nil"/>
              <w:left w:val="nil"/>
              <w:bottom w:val="single" w:sz="4" w:space="0" w:color="auto"/>
              <w:right w:val="single" w:sz="4" w:space="0" w:color="auto"/>
            </w:tcBorders>
            <w:hideMark/>
          </w:tcPr>
          <w:p w14:paraId="25AFEB73"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zpracování analýzy – statistická data, rozhovory s poskytovateli služeb, OSPODy, analýza pobytových zařízení pro děti, realizace 2 fokusních skupin</w:t>
            </w:r>
          </w:p>
        </w:tc>
      </w:tr>
      <w:tr w:rsidR="001759E4" w14:paraId="255828E6" w14:textId="77777777" w:rsidTr="00783BA1">
        <w:trPr>
          <w:trHeight w:val="590"/>
        </w:trPr>
        <w:tc>
          <w:tcPr>
            <w:tcW w:w="3580" w:type="dxa"/>
            <w:tcBorders>
              <w:top w:val="nil"/>
              <w:left w:val="single" w:sz="4" w:space="0" w:color="auto"/>
              <w:bottom w:val="single" w:sz="4" w:space="0" w:color="auto"/>
              <w:right w:val="single" w:sz="4" w:space="0" w:color="auto"/>
            </w:tcBorders>
            <w:hideMark/>
          </w:tcPr>
          <w:p w14:paraId="359E47CD"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Podpora transformačních aktivit včetně vzdělávání pracovníků, participace dětí aj.</w:t>
            </w:r>
          </w:p>
        </w:tc>
        <w:tc>
          <w:tcPr>
            <w:tcW w:w="1377" w:type="dxa"/>
            <w:tcBorders>
              <w:top w:val="nil"/>
              <w:left w:val="nil"/>
              <w:bottom w:val="single" w:sz="4" w:space="0" w:color="auto"/>
              <w:right w:val="single" w:sz="4" w:space="0" w:color="auto"/>
            </w:tcBorders>
            <w:noWrap/>
            <w:hideMark/>
          </w:tcPr>
          <w:p w14:paraId="143549FC"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400 000</w:t>
            </w:r>
          </w:p>
        </w:tc>
        <w:tc>
          <w:tcPr>
            <w:tcW w:w="4819" w:type="dxa"/>
            <w:tcBorders>
              <w:top w:val="nil"/>
              <w:left w:val="nil"/>
              <w:bottom w:val="single" w:sz="4" w:space="0" w:color="auto"/>
              <w:right w:val="single" w:sz="4" w:space="0" w:color="auto"/>
            </w:tcBorders>
            <w:hideMark/>
          </w:tcPr>
          <w:p w14:paraId="5B63F919"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vzdělávání zapojených aktérů do transformace – kroky nezbytné k realizaci transformace (témata: DI, trauma)</w:t>
            </w:r>
          </w:p>
        </w:tc>
      </w:tr>
      <w:tr w:rsidR="001759E4" w14:paraId="30807D36" w14:textId="77777777" w:rsidTr="00783BA1">
        <w:trPr>
          <w:trHeight w:val="290"/>
        </w:trPr>
        <w:tc>
          <w:tcPr>
            <w:tcW w:w="3580" w:type="dxa"/>
            <w:tcBorders>
              <w:top w:val="nil"/>
              <w:left w:val="single" w:sz="4" w:space="0" w:color="auto"/>
              <w:bottom w:val="single" w:sz="4" w:space="0" w:color="auto"/>
              <w:right w:val="single" w:sz="4" w:space="0" w:color="auto"/>
            </w:tcBorders>
            <w:hideMark/>
          </w:tcPr>
          <w:p w14:paraId="4225B9D9"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Nadační koordinátor transformace</w:t>
            </w:r>
          </w:p>
        </w:tc>
        <w:tc>
          <w:tcPr>
            <w:tcW w:w="1377" w:type="dxa"/>
            <w:tcBorders>
              <w:top w:val="nil"/>
              <w:left w:val="nil"/>
              <w:bottom w:val="single" w:sz="4" w:space="0" w:color="auto"/>
              <w:right w:val="single" w:sz="4" w:space="0" w:color="auto"/>
            </w:tcBorders>
            <w:noWrap/>
            <w:hideMark/>
          </w:tcPr>
          <w:p w14:paraId="3C579FCF"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768 000</w:t>
            </w:r>
          </w:p>
        </w:tc>
        <w:tc>
          <w:tcPr>
            <w:tcW w:w="4819" w:type="dxa"/>
            <w:tcBorders>
              <w:top w:val="nil"/>
              <w:left w:val="nil"/>
              <w:bottom w:val="single" w:sz="4" w:space="0" w:color="auto"/>
              <w:right w:val="single" w:sz="4" w:space="0" w:color="auto"/>
            </w:tcBorders>
            <w:hideMark/>
          </w:tcPr>
          <w:p w14:paraId="089AAA36"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 xml:space="preserve">koordinace krajských aktivit ze strany iniciativy 8000 důvodů </w:t>
            </w:r>
          </w:p>
        </w:tc>
      </w:tr>
      <w:tr w:rsidR="001759E4" w14:paraId="63D9CD10" w14:textId="77777777" w:rsidTr="00783BA1">
        <w:trPr>
          <w:trHeight w:val="799"/>
        </w:trPr>
        <w:tc>
          <w:tcPr>
            <w:tcW w:w="3580" w:type="dxa"/>
            <w:tcBorders>
              <w:top w:val="nil"/>
              <w:left w:val="single" w:sz="4" w:space="0" w:color="auto"/>
              <w:bottom w:val="single" w:sz="4" w:space="0" w:color="auto"/>
              <w:right w:val="single" w:sz="4" w:space="0" w:color="auto"/>
            </w:tcBorders>
            <w:hideMark/>
          </w:tcPr>
          <w:p w14:paraId="4C503ECF"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Konzultanti transformace</w:t>
            </w:r>
          </w:p>
        </w:tc>
        <w:tc>
          <w:tcPr>
            <w:tcW w:w="1377" w:type="dxa"/>
            <w:tcBorders>
              <w:top w:val="nil"/>
              <w:left w:val="nil"/>
              <w:bottom w:val="single" w:sz="4" w:space="0" w:color="auto"/>
              <w:right w:val="single" w:sz="4" w:space="0" w:color="auto"/>
            </w:tcBorders>
            <w:noWrap/>
            <w:hideMark/>
          </w:tcPr>
          <w:p w14:paraId="3D865BE6"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150 000</w:t>
            </w:r>
          </w:p>
        </w:tc>
        <w:tc>
          <w:tcPr>
            <w:tcW w:w="4819" w:type="dxa"/>
            <w:tcBorders>
              <w:top w:val="nil"/>
              <w:left w:val="nil"/>
              <w:bottom w:val="single" w:sz="4" w:space="0" w:color="auto"/>
              <w:right w:val="single" w:sz="4" w:space="0" w:color="auto"/>
            </w:tcBorders>
            <w:hideMark/>
          </w:tcPr>
          <w:p w14:paraId="66805215"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podpora vzniku transformačních plánů, podpora přechodu od poskytování ústavní péče po komunitní péči zaměřenou na dítě</w:t>
            </w:r>
          </w:p>
        </w:tc>
      </w:tr>
      <w:tr w:rsidR="001759E4" w14:paraId="2E597361" w14:textId="77777777" w:rsidTr="00783BA1">
        <w:trPr>
          <w:trHeight w:val="411"/>
        </w:trPr>
        <w:tc>
          <w:tcPr>
            <w:tcW w:w="3580" w:type="dxa"/>
            <w:tcBorders>
              <w:top w:val="nil"/>
              <w:left w:val="single" w:sz="4" w:space="0" w:color="auto"/>
              <w:bottom w:val="single" w:sz="4" w:space="0" w:color="auto"/>
              <w:right w:val="single" w:sz="4" w:space="0" w:color="auto"/>
            </w:tcBorders>
            <w:hideMark/>
          </w:tcPr>
          <w:p w14:paraId="359CCC0F" w14:textId="77777777" w:rsidR="001759E4" w:rsidRDefault="001759E4">
            <w:pPr>
              <w:spacing w:line="276" w:lineRule="auto"/>
              <w:jc w:val="both"/>
              <w:rPr>
                <w:rFonts w:ascii="Tahoma" w:hAnsi="Tahoma" w:cs="Tahoma"/>
                <w:b/>
                <w:color w:val="000000"/>
                <w:kern w:val="2"/>
                <w:sz w:val="20"/>
                <w:szCs w:val="20"/>
              </w:rPr>
            </w:pPr>
            <w:r>
              <w:rPr>
                <w:rFonts w:ascii="Tahoma" w:hAnsi="Tahoma" w:cs="Tahoma"/>
                <w:b/>
                <w:color w:val="000000"/>
                <w:kern w:val="2"/>
                <w:sz w:val="20"/>
                <w:szCs w:val="20"/>
              </w:rPr>
              <w:t>CELKEM</w:t>
            </w:r>
          </w:p>
        </w:tc>
        <w:tc>
          <w:tcPr>
            <w:tcW w:w="1377" w:type="dxa"/>
            <w:tcBorders>
              <w:top w:val="nil"/>
              <w:left w:val="nil"/>
              <w:bottom w:val="single" w:sz="4" w:space="0" w:color="auto"/>
              <w:right w:val="single" w:sz="4" w:space="0" w:color="auto"/>
            </w:tcBorders>
            <w:noWrap/>
            <w:hideMark/>
          </w:tcPr>
          <w:p w14:paraId="5B4D2ED8" w14:textId="77777777" w:rsidR="001759E4" w:rsidRDefault="001759E4">
            <w:pPr>
              <w:spacing w:line="276" w:lineRule="auto"/>
              <w:jc w:val="both"/>
              <w:rPr>
                <w:rFonts w:ascii="Tahoma" w:hAnsi="Tahoma" w:cs="Tahoma"/>
                <w:b/>
                <w:bCs/>
                <w:color w:val="000000"/>
                <w:kern w:val="2"/>
                <w:sz w:val="20"/>
                <w:szCs w:val="20"/>
              </w:rPr>
            </w:pPr>
            <w:r>
              <w:rPr>
                <w:rFonts w:ascii="Tahoma" w:hAnsi="Tahoma" w:cs="Tahoma"/>
                <w:b/>
                <w:bCs/>
                <w:color w:val="000000"/>
                <w:kern w:val="2"/>
                <w:sz w:val="20"/>
                <w:szCs w:val="20"/>
              </w:rPr>
              <w:t>1 568 000</w:t>
            </w:r>
          </w:p>
        </w:tc>
        <w:tc>
          <w:tcPr>
            <w:tcW w:w="4819" w:type="dxa"/>
            <w:tcBorders>
              <w:top w:val="nil"/>
              <w:left w:val="nil"/>
              <w:bottom w:val="single" w:sz="4" w:space="0" w:color="auto"/>
              <w:right w:val="single" w:sz="4" w:space="0" w:color="auto"/>
            </w:tcBorders>
          </w:tcPr>
          <w:p w14:paraId="3B0AF4AD" w14:textId="77777777" w:rsidR="001759E4" w:rsidRDefault="001759E4">
            <w:pPr>
              <w:spacing w:line="276" w:lineRule="auto"/>
              <w:jc w:val="both"/>
              <w:rPr>
                <w:rFonts w:ascii="Calibri" w:hAnsi="Calibri" w:cs="Calibri"/>
                <w:color w:val="000000"/>
                <w:kern w:val="2"/>
                <w:sz w:val="22"/>
                <w:szCs w:val="24"/>
              </w:rPr>
            </w:pPr>
          </w:p>
        </w:tc>
      </w:tr>
      <w:tr w:rsidR="001759E4" w14:paraId="2022CF31" w14:textId="77777777" w:rsidTr="00783BA1">
        <w:trPr>
          <w:trHeight w:val="290"/>
        </w:trPr>
        <w:tc>
          <w:tcPr>
            <w:tcW w:w="3580" w:type="dxa"/>
            <w:hideMark/>
          </w:tcPr>
          <w:p w14:paraId="38AC249C" w14:textId="77777777" w:rsidR="001759E4" w:rsidRDefault="001759E4">
            <w:pPr>
              <w:rPr>
                <w:rFonts w:ascii="Calibri" w:hAnsi="Calibri" w:cs="Calibri"/>
                <w:color w:val="000000"/>
                <w:kern w:val="2"/>
                <w:sz w:val="22"/>
                <w:szCs w:val="24"/>
              </w:rPr>
            </w:pPr>
          </w:p>
        </w:tc>
        <w:tc>
          <w:tcPr>
            <w:tcW w:w="1377" w:type="dxa"/>
            <w:noWrap/>
            <w:hideMark/>
          </w:tcPr>
          <w:p w14:paraId="3F053C61" w14:textId="77777777" w:rsidR="001759E4" w:rsidRDefault="001759E4">
            <w:pPr>
              <w:rPr>
                <w:rFonts w:ascii="Calibri" w:hAnsi="Calibri" w:cs="Calibri"/>
                <w:sz w:val="20"/>
                <w:szCs w:val="20"/>
                <w:lang w:eastAsia="cs-CZ"/>
              </w:rPr>
            </w:pPr>
          </w:p>
        </w:tc>
        <w:tc>
          <w:tcPr>
            <w:tcW w:w="4819" w:type="dxa"/>
            <w:noWrap/>
            <w:hideMark/>
          </w:tcPr>
          <w:p w14:paraId="46EA288F" w14:textId="77777777" w:rsidR="001759E4" w:rsidRDefault="001759E4">
            <w:pPr>
              <w:rPr>
                <w:rFonts w:ascii="Calibri" w:hAnsi="Calibri" w:cs="Calibri"/>
                <w:sz w:val="20"/>
                <w:szCs w:val="20"/>
                <w:lang w:eastAsia="cs-CZ"/>
              </w:rPr>
            </w:pPr>
          </w:p>
        </w:tc>
      </w:tr>
    </w:tbl>
    <w:p w14:paraId="72734B16" w14:textId="77777777" w:rsidR="001759E4" w:rsidRDefault="001759E4" w:rsidP="00783BA1">
      <w:pPr>
        <w:spacing w:after="160" w:line="276" w:lineRule="auto"/>
        <w:rPr>
          <w:rFonts w:ascii="Tahoma" w:hAnsi="Tahoma" w:cs="Tahoma"/>
          <w:sz w:val="20"/>
          <w:szCs w:val="20"/>
        </w:rPr>
      </w:pPr>
      <w:r>
        <w:rPr>
          <w:rFonts w:ascii="Tahoma" w:hAnsi="Tahoma" w:cs="Tahoma"/>
          <w:b/>
          <w:bCs/>
          <w:sz w:val="20"/>
          <w:szCs w:val="20"/>
        </w:rPr>
        <w:t>Tabulka č. 2 Aktualizovaný rozpočet: Období od 1. 1. 2024 do 31. 12. 2025</w:t>
      </w:r>
    </w:p>
    <w:tbl>
      <w:tblPr>
        <w:tblW w:w="9776" w:type="dxa"/>
        <w:tblCellMar>
          <w:left w:w="70" w:type="dxa"/>
          <w:right w:w="70" w:type="dxa"/>
        </w:tblCellMar>
        <w:tblLook w:val="04A0" w:firstRow="1" w:lastRow="0" w:firstColumn="1" w:lastColumn="0" w:noHBand="0" w:noVBand="1"/>
      </w:tblPr>
      <w:tblGrid>
        <w:gridCol w:w="3580"/>
        <w:gridCol w:w="1377"/>
        <w:gridCol w:w="4819"/>
      </w:tblGrid>
      <w:tr w:rsidR="001759E4" w14:paraId="5E8EFDA6" w14:textId="77777777" w:rsidTr="00783BA1">
        <w:trPr>
          <w:trHeight w:val="290"/>
        </w:trPr>
        <w:tc>
          <w:tcPr>
            <w:tcW w:w="3580" w:type="dxa"/>
            <w:tcBorders>
              <w:top w:val="single" w:sz="4" w:space="0" w:color="auto"/>
              <w:left w:val="single" w:sz="4" w:space="0" w:color="auto"/>
              <w:bottom w:val="single" w:sz="4" w:space="0" w:color="auto"/>
              <w:right w:val="single" w:sz="4" w:space="0" w:color="auto"/>
            </w:tcBorders>
            <w:vAlign w:val="center"/>
            <w:hideMark/>
          </w:tcPr>
          <w:p w14:paraId="4C14855A" w14:textId="77777777" w:rsidR="001759E4" w:rsidRDefault="001759E4">
            <w:pPr>
              <w:spacing w:line="276" w:lineRule="auto"/>
              <w:jc w:val="both"/>
              <w:rPr>
                <w:rFonts w:ascii="Tahoma" w:eastAsia="Times New Roman" w:hAnsi="Tahoma" w:cs="Tahoma"/>
                <w:b/>
                <w:color w:val="000000"/>
                <w:kern w:val="2"/>
                <w:sz w:val="20"/>
                <w:szCs w:val="20"/>
              </w:rPr>
            </w:pPr>
            <w:r>
              <w:rPr>
                <w:rFonts w:ascii="Tahoma" w:hAnsi="Tahoma" w:cs="Tahoma"/>
                <w:color w:val="000000"/>
                <w:kern w:val="2"/>
                <w:sz w:val="20"/>
                <w:szCs w:val="20"/>
              </w:rPr>
              <w:t> </w:t>
            </w:r>
            <w:r>
              <w:rPr>
                <w:rFonts w:ascii="Tahoma" w:hAnsi="Tahoma" w:cs="Tahoma"/>
                <w:b/>
                <w:bCs/>
                <w:color w:val="000000"/>
                <w:kern w:val="2"/>
                <w:sz w:val="20"/>
                <w:szCs w:val="20"/>
              </w:rPr>
              <w:t>ČINNOSTI</w:t>
            </w:r>
          </w:p>
        </w:tc>
        <w:tc>
          <w:tcPr>
            <w:tcW w:w="1377" w:type="dxa"/>
            <w:tcBorders>
              <w:top w:val="single" w:sz="4" w:space="0" w:color="auto"/>
              <w:left w:val="nil"/>
              <w:bottom w:val="single" w:sz="4" w:space="0" w:color="auto"/>
              <w:right w:val="single" w:sz="4" w:space="0" w:color="auto"/>
            </w:tcBorders>
            <w:noWrap/>
            <w:vAlign w:val="center"/>
            <w:hideMark/>
          </w:tcPr>
          <w:p w14:paraId="4A4C98FF" w14:textId="77777777" w:rsidR="001759E4" w:rsidRDefault="001759E4">
            <w:pPr>
              <w:spacing w:line="276" w:lineRule="auto"/>
              <w:jc w:val="both"/>
              <w:rPr>
                <w:rFonts w:ascii="Tahoma" w:hAnsi="Tahoma" w:cs="Tahoma"/>
                <w:b/>
                <w:bCs/>
                <w:color w:val="000000"/>
                <w:kern w:val="2"/>
                <w:sz w:val="20"/>
                <w:szCs w:val="20"/>
              </w:rPr>
            </w:pPr>
            <w:r>
              <w:rPr>
                <w:rFonts w:ascii="Tahoma" w:hAnsi="Tahoma" w:cs="Tahoma"/>
                <w:b/>
                <w:bCs/>
                <w:color w:val="000000"/>
                <w:kern w:val="2"/>
                <w:sz w:val="20"/>
                <w:szCs w:val="20"/>
              </w:rPr>
              <w:t>NÁKLADY</w:t>
            </w:r>
          </w:p>
        </w:tc>
        <w:tc>
          <w:tcPr>
            <w:tcW w:w="4819" w:type="dxa"/>
            <w:tcBorders>
              <w:top w:val="single" w:sz="4" w:space="0" w:color="auto"/>
              <w:left w:val="nil"/>
              <w:bottom w:val="single" w:sz="4" w:space="0" w:color="auto"/>
              <w:right w:val="single" w:sz="4" w:space="0" w:color="auto"/>
            </w:tcBorders>
            <w:noWrap/>
            <w:vAlign w:val="center"/>
            <w:hideMark/>
          </w:tcPr>
          <w:p w14:paraId="77965D87" w14:textId="77777777" w:rsidR="001759E4" w:rsidRDefault="001759E4">
            <w:pPr>
              <w:spacing w:line="276" w:lineRule="auto"/>
              <w:jc w:val="both"/>
              <w:rPr>
                <w:rFonts w:ascii="Tahoma" w:hAnsi="Tahoma" w:cs="Tahoma"/>
                <w:b/>
                <w:bCs/>
                <w:color w:val="000000"/>
                <w:kern w:val="2"/>
                <w:sz w:val="20"/>
                <w:szCs w:val="20"/>
              </w:rPr>
            </w:pPr>
            <w:r>
              <w:rPr>
                <w:rFonts w:ascii="Tahoma" w:hAnsi="Tahoma" w:cs="Tahoma"/>
                <w:b/>
                <w:bCs/>
                <w:color w:val="000000"/>
                <w:kern w:val="2"/>
                <w:sz w:val="20"/>
                <w:szCs w:val="20"/>
              </w:rPr>
              <w:t>POZNÁMKY</w:t>
            </w:r>
          </w:p>
        </w:tc>
      </w:tr>
      <w:tr w:rsidR="001759E4" w14:paraId="292E66DD" w14:textId="77777777" w:rsidTr="00783BA1">
        <w:trPr>
          <w:trHeight w:val="681"/>
        </w:trPr>
        <w:tc>
          <w:tcPr>
            <w:tcW w:w="3580" w:type="dxa"/>
            <w:tcBorders>
              <w:top w:val="nil"/>
              <w:left w:val="single" w:sz="4" w:space="0" w:color="auto"/>
              <w:bottom w:val="single" w:sz="4" w:space="0" w:color="auto"/>
              <w:right w:val="single" w:sz="4" w:space="0" w:color="auto"/>
            </w:tcBorders>
            <w:vAlign w:val="center"/>
            <w:hideMark/>
          </w:tcPr>
          <w:p w14:paraId="2EA5C204"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Analýza systému péče o ohrožené děti v Jihočeském kraji</w:t>
            </w:r>
          </w:p>
        </w:tc>
        <w:tc>
          <w:tcPr>
            <w:tcW w:w="1377" w:type="dxa"/>
            <w:tcBorders>
              <w:top w:val="nil"/>
              <w:left w:val="nil"/>
              <w:bottom w:val="single" w:sz="4" w:space="0" w:color="auto"/>
              <w:right w:val="single" w:sz="4" w:space="0" w:color="auto"/>
            </w:tcBorders>
            <w:noWrap/>
            <w:vAlign w:val="center"/>
            <w:hideMark/>
          </w:tcPr>
          <w:p w14:paraId="2810DED5"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250 000</w:t>
            </w:r>
          </w:p>
        </w:tc>
        <w:tc>
          <w:tcPr>
            <w:tcW w:w="4819" w:type="dxa"/>
            <w:tcBorders>
              <w:top w:val="nil"/>
              <w:left w:val="nil"/>
              <w:bottom w:val="single" w:sz="4" w:space="0" w:color="auto"/>
              <w:right w:val="single" w:sz="4" w:space="0" w:color="auto"/>
            </w:tcBorders>
            <w:vAlign w:val="center"/>
            <w:hideMark/>
          </w:tcPr>
          <w:p w14:paraId="2A4160E1"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zpracování analýzy – statistická data, rozhovory s poskytovateli služeb, OSPODy, analýza pobytových zařízení pro děti, realizace 2 fokusních skupin</w:t>
            </w:r>
          </w:p>
        </w:tc>
      </w:tr>
      <w:tr w:rsidR="001759E4" w14:paraId="179F0694" w14:textId="77777777" w:rsidTr="00783BA1">
        <w:trPr>
          <w:trHeight w:val="590"/>
        </w:trPr>
        <w:tc>
          <w:tcPr>
            <w:tcW w:w="3580" w:type="dxa"/>
            <w:tcBorders>
              <w:top w:val="nil"/>
              <w:left w:val="single" w:sz="4" w:space="0" w:color="auto"/>
              <w:bottom w:val="single" w:sz="4" w:space="0" w:color="auto"/>
              <w:right w:val="single" w:sz="4" w:space="0" w:color="auto"/>
            </w:tcBorders>
            <w:vAlign w:val="center"/>
            <w:hideMark/>
          </w:tcPr>
          <w:p w14:paraId="742CFEEE"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Podpora transformačních aktivit včetně vzdělávání pracovníků, participace dětí aj.</w:t>
            </w:r>
          </w:p>
        </w:tc>
        <w:tc>
          <w:tcPr>
            <w:tcW w:w="1377" w:type="dxa"/>
            <w:tcBorders>
              <w:top w:val="nil"/>
              <w:left w:val="nil"/>
              <w:bottom w:val="single" w:sz="4" w:space="0" w:color="auto"/>
              <w:right w:val="single" w:sz="4" w:space="0" w:color="auto"/>
            </w:tcBorders>
            <w:noWrap/>
            <w:vAlign w:val="center"/>
            <w:hideMark/>
          </w:tcPr>
          <w:p w14:paraId="7D3CD7B5"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400 000</w:t>
            </w:r>
          </w:p>
        </w:tc>
        <w:tc>
          <w:tcPr>
            <w:tcW w:w="4819" w:type="dxa"/>
            <w:tcBorders>
              <w:top w:val="nil"/>
              <w:left w:val="nil"/>
              <w:bottom w:val="single" w:sz="4" w:space="0" w:color="auto"/>
              <w:right w:val="single" w:sz="4" w:space="0" w:color="auto"/>
            </w:tcBorders>
            <w:vAlign w:val="center"/>
            <w:hideMark/>
          </w:tcPr>
          <w:p w14:paraId="222C46A6"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vzdělávání zapojených aktérů do transformace – kroky nezbytné k realizaci transformace (témata: DI, trauma)</w:t>
            </w:r>
          </w:p>
        </w:tc>
      </w:tr>
      <w:tr w:rsidR="001759E4" w14:paraId="68121298" w14:textId="77777777" w:rsidTr="00783BA1">
        <w:trPr>
          <w:trHeight w:val="290"/>
        </w:trPr>
        <w:tc>
          <w:tcPr>
            <w:tcW w:w="3580" w:type="dxa"/>
            <w:tcBorders>
              <w:top w:val="nil"/>
              <w:left w:val="single" w:sz="4" w:space="0" w:color="auto"/>
              <w:bottom w:val="single" w:sz="4" w:space="0" w:color="auto"/>
              <w:right w:val="single" w:sz="4" w:space="0" w:color="auto"/>
            </w:tcBorders>
            <w:vAlign w:val="center"/>
            <w:hideMark/>
          </w:tcPr>
          <w:p w14:paraId="4ACC1F0D" w14:textId="77777777" w:rsidR="001759E4" w:rsidRDefault="001759E4">
            <w:pPr>
              <w:spacing w:line="276" w:lineRule="auto"/>
              <w:jc w:val="both"/>
              <w:rPr>
                <w:rFonts w:ascii="Tahoma" w:hAnsi="Tahoma" w:cs="Tahoma"/>
                <w:b/>
                <w:bCs/>
                <w:color w:val="000000"/>
                <w:kern w:val="2"/>
                <w:sz w:val="20"/>
                <w:szCs w:val="20"/>
              </w:rPr>
            </w:pPr>
            <w:r>
              <w:rPr>
                <w:rFonts w:ascii="Tahoma" w:hAnsi="Tahoma" w:cs="Tahoma"/>
                <w:b/>
                <w:bCs/>
                <w:color w:val="000000"/>
                <w:kern w:val="2"/>
                <w:sz w:val="20"/>
                <w:szCs w:val="20"/>
              </w:rPr>
              <w:t>Nadační koordinátor transformace</w:t>
            </w:r>
          </w:p>
        </w:tc>
        <w:tc>
          <w:tcPr>
            <w:tcW w:w="1377" w:type="dxa"/>
            <w:tcBorders>
              <w:top w:val="nil"/>
              <w:left w:val="nil"/>
              <w:bottom w:val="single" w:sz="4" w:space="0" w:color="auto"/>
              <w:right w:val="single" w:sz="4" w:space="0" w:color="auto"/>
            </w:tcBorders>
            <w:noWrap/>
            <w:vAlign w:val="center"/>
            <w:hideMark/>
          </w:tcPr>
          <w:p w14:paraId="13D013E9" w14:textId="77777777" w:rsidR="001759E4" w:rsidRDefault="001759E4">
            <w:pPr>
              <w:spacing w:line="276" w:lineRule="auto"/>
              <w:jc w:val="both"/>
              <w:rPr>
                <w:rFonts w:ascii="Tahoma" w:hAnsi="Tahoma" w:cs="Tahoma"/>
                <w:b/>
                <w:bCs/>
                <w:color w:val="000000"/>
                <w:kern w:val="2"/>
                <w:sz w:val="20"/>
                <w:szCs w:val="20"/>
              </w:rPr>
            </w:pPr>
            <w:r>
              <w:rPr>
                <w:rFonts w:ascii="Tahoma" w:hAnsi="Tahoma" w:cs="Tahoma"/>
                <w:b/>
                <w:bCs/>
                <w:color w:val="000000"/>
                <w:kern w:val="2"/>
                <w:sz w:val="20"/>
                <w:szCs w:val="20"/>
              </w:rPr>
              <w:t>558 000</w:t>
            </w:r>
          </w:p>
        </w:tc>
        <w:tc>
          <w:tcPr>
            <w:tcW w:w="4819" w:type="dxa"/>
            <w:tcBorders>
              <w:top w:val="nil"/>
              <w:left w:val="nil"/>
              <w:bottom w:val="single" w:sz="4" w:space="0" w:color="auto"/>
              <w:right w:val="single" w:sz="4" w:space="0" w:color="auto"/>
            </w:tcBorders>
            <w:vAlign w:val="center"/>
            <w:hideMark/>
          </w:tcPr>
          <w:p w14:paraId="3098917C" w14:textId="77777777" w:rsidR="001759E4" w:rsidRDefault="001759E4">
            <w:pPr>
              <w:spacing w:line="276" w:lineRule="auto"/>
              <w:jc w:val="both"/>
              <w:rPr>
                <w:rFonts w:ascii="Tahoma" w:hAnsi="Tahoma" w:cs="Tahoma"/>
                <w:b/>
                <w:bCs/>
                <w:color w:val="000000"/>
                <w:kern w:val="2"/>
                <w:sz w:val="20"/>
                <w:szCs w:val="20"/>
              </w:rPr>
            </w:pPr>
            <w:r>
              <w:rPr>
                <w:rFonts w:ascii="Tahoma" w:hAnsi="Tahoma" w:cs="Tahoma"/>
                <w:b/>
                <w:bCs/>
                <w:color w:val="000000"/>
                <w:kern w:val="2"/>
                <w:sz w:val="20"/>
                <w:szCs w:val="20"/>
              </w:rPr>
              <w:t xml:space="preserve">koordinace krajských aktivit ze strany iniciativy 8000 důvodů </w:t>
            </w:r>
          </w:p>
        </w:tc>
      </w:tr>
      <w:tr w:rsidR="001759E4" w14:paraId="604D1644" w14:textId="77777777" w:rsidTr="00783BA1">
        <w:trPr>
          <w:trHeight w:val="799"/>
        </w:trPr>
        <w:tc>
          <w:tcPr>
            <w:tcW w:w="3580" w:type="dxa"/>
            <w:tcBorders>
              <w:top w:val="nil"/>
              <w:left w:val="single" w:sz="4" w:space="0" w:color="auto"/>
              <w:bottom w:val="single" w:sz="4" w:space="0" w:color="auto"/>
              <w:right w:val="single" w:sz="4" w:space="0" w:color="auto"/>
            </w:tcBorders>
            <w:vAlign w:val="center"/>
            <w:hideMark/>
          </w:tcPr>
          <w:p w14:paraId="1860352D" w14:textId="77777777" w:rsidR="001759E4" w:rsidRDefault="001759E4">
            <w:pPr>
              <w:spacing w:line="276" w:lineRule="auto"/>
              <w:jc w:val="both"/>
              <w:rPr>
                <w:rFonts w:ascii="Tahoma" w:hAnsi="Tahoma" w:cs="Tahoma"/>
                <w:b/>
                <w:bCs/>
                <w:color w:val="000000"/>
                <w:kern w:val="2"/>
                <w:sz w:val="20"/>
                <w:szCs w:val="20"/>
              </w:rPr>
            </w:pPr>
            <w:r>
              <w:rPr>
                <w:rFonts w:ascii="Tahoma" w:hAnsi="Tahoma" w:cs="Tahoma"/>
                <w:b/>
                <w:bCs/>
                <w:color w:val="000000"/>
                <w:kern w:val="2"/>
                <w:sz w:val="20"/>
                <w:szCs w:val="20"/>
              </w:rPr>
              <w:t>Strategie péče o ohrožené děti a rodiny v Jihočeském kraji</w:t>
            </w:r>
          </w:p>
        </w:tc>
        <w:tc>
          <w:tcPr>
            <w:tcW w:w="1377" w:type="dxa"/>
            <w:tcBorders>
              <w:top w:val="nil"/>
              <w:left w:val="nil"/>
              <w:bottom w:val="single" w:sz="4" w:space="0" w:color="auto"/>
              <w:right w:val="single" w:sz="4" w:space="0" w:color="auto"/>
            </w:tcBorders>
            <w:noWrap/>
            <w:vAlign w:val="center"/>
            <w:hideMark/>
          </w:tcPr>
          <w:p w14:paraId="3DE4BEAA" w14:textId="77777777" w:rsidR="001759E4" w:rsidRDefault="001759E4">
            <w:pPr>
              <w:spacing w:line="276" w:lineRule="auto"/>
              <w:jc w:val="both"/>
              <w:rPr>
                <w:rFonts w:ascii="Tahoma" w:hAnsi="Tahoma" w:cs="Tahoma"/>
                <w:b/>
                <w:bCs/>
                <w:color w:val="000000"/>
                <w:kern w:val="2"/>
                <w:sz w:val="20"/>
                <w:szCs w:val="20"/>
              </w:rPr>
            </w:pPr>
            <w:r>
              <w:rPr>
                <w:rFonts w:ascii="Tahoma" w:hAnsi="Tahoma" w:cs="Tahoma"/>
                <w:b/>
                <w:bCs/>
                <w:color w:val="000000"/>
                <w:kern w:val="2"/>
                <w:sz w:val="20"/>
                <w:szCs w:val="20"/>
              </w:rPr>
              <w:t>210 000</w:t>
            </w:r>
          </w:p>
        </w:tc>
        <w:tc>
          <w:tcPr>
            <w:tcW w:w="4819" w:type="dxa"/>
            <w:tcBorders>
              <w:top w:val="nil"/>
              <w:left w:val="nil"/>
              <w:bottom w:val="single" w:sz="4" w:space="0" w:color="auto"/>
              <w:right w:val="single" w:sz="4" w:space="0" w:color="auto"/>
            </w:tcBorders>
            <w:vAlign w:val="center"/>
            <w:hideMark/>
          </w:tcPr>
          <w:p w14:paraId="0B7345E5" w14:textId="77777777" w:rsidR="001759E4" w:rsidRDefault="001759E4">
            <w:pPr>
              <w:spacing w:line="276" w:lineRule="auto"/>
              <w:jc w:val="both"/>
              <w:rPr>
                <w:rFonts w:ascii="Tahoma" w:hAnsi="Tahoma" w:cs="Tahoma"/>
                <w:b/>
                <w:bCs/>
                <w:color w:val="000000"/>
                <w:kern w:val="2"/>
                <w:sz w:val="20"/>
                <w:szCs w:val="20"/>
              </w:rPr>
            </w:pPr>
            <w:r>
              <w:rPr>
                <w:rFonts w:ascii="Tahoma" w:hAnsi="Tahoma" w:cs="Tahoma"/>
                <w:b/>
                <w:bCs/>
                <w:color w:val="000000"/>
                <w:kern w:val="2"/>
                <w:sz w:val="20"/>
                <w:szCs w:val="20"/>
              </w:rPr>
              <w:t xml:space="preserve"> vytvoření a vedení pracovní skupiny kraje k obsahu strategie (zástupci KÚ, OSPOD, případně dalších organizací), vytvoření struktury strategie, formulování cílů, sepsání strategie včetně opatření, předložení strategie kraji, zapracování připomínek, korektury a grafické zpracování, představení strategie na setkání v kraji</w:t>
            </w:r>
          </w:p>
        </w:tc>
      </w:tr>
      <w:tr w:rsidR="001759E4" w14:paraId="0AE18742" w14:textId="77777777" w:rsidTr="00530E95">
        <w:trPr>
          <w:trHeight w:val="411"/>
        </w:trPr>
        <w:tc>
          <w:tcPr>
            <w:tcW w:w="3580" w:type="dxa"/>
            <w:tcBorders>
              <w:top w:val="nil"/>
              <w:left w:val="single" w:sz="4" w:space="0" w:color="auto"/>
              <w:bottom w:val="single" w:sz="4" w:space="0" w:color="auto"/>
              <w:right w:val="single" w:sz="4" w:space="0" w:color="auto"/>
            </w:tcBorders>
            <w:vAlign w:val="center"/>
            <w:hideMark/>
          </w:tcPr>
          <w:p w14:paraId="085C11C3" w14:textId="77777777" w:rsidR="001759E4" w:rsidRDefault="001759E4">
            <w:pPr>
              <w:spacing w:line="276" w:lineRule="auto"/>
              <w:jc w:val="both"/>
              <w:rPr>
                <w:rFonts w:ascii="Tahoma" w:hAnsi="Tahoma" w:cs="Tahoma"/>
                <w:b/>
                <w:color w:val="000000"/>
                <w:kern w:val="2"/>
                <w:sz w:val="20"/>
                <w:szCs w:val="20"/>
              </w:rPr>
            </w:pPr>
            <w:r>
              <w:rPr>
                <w:rFonts w:ascii="Tahoma" w:hAnsi="Tahoma" w:cs="Tahoma"/>
                <w:color w:val="000000"/>
                <w:kern w:val="2"/>
                <w:sz w:val="20"/>
                <w:szCs w:val="20"/>
              </w:rPr>
              <w:t>Konzultanti transformace</w:t>
            </w:r>
          </w:p>
        </w:tc>
        <w:tc>
          <w:tcPr>
            <w:tcW w:w="1377" w:type="dxa"/>
            <w:tcBorders>
              <w:top w:val="nil"/>
              <w:left w:val="nil"/>
              <w:bottom w:val="single" w:sz="4" w:space="0" w:color="auto"/>
              <w:right w:val="single" w:sz="4" w:space="0" w:color="auto"/>
            </w:tcBorders>
            <w:noWrap/>
            <w:vAlign w:val="center"/>
            <w:hideMark/>
          </w:tcPr>
          <w:p w14:paraId="4F221E43" w14:textId="77777777" w:rsidR="001759E4" w:rsidRDefault="001759E4">
            <w:pPr>
              <w:spacing w:line="276" w:lineRule="auto"/>
              <w:jc w:val="both"/>
              <w:rPr>
                <w:rFonts w:ascii="Tahoma" w:hAnsi="Tahoma" w:cs="Tahoma"/>
                <w:b/>
                <w:bCs/>
                <w:color w:val="000000"/>
                <w:kern w:val="2"/>
                <w:sz w:val="20"/>
                <w:szCs w:val="20"/>
              </w:rPr>
            </w:pPr>
            <w:r>
              <w:rPr>
                <w:rFonts w:ascii="Tahoma" w:hAnsi="Tahoma" w:cs="Tahoma"/>
                <w:color w:val="000000"/>
                <w:kern w:val="2"/>
                <w:sz w:val="20"/>
                <w:szCs w:val="20"/>
              </w:rPr>
              <w:t>150 000</w:t>
            </w:r>
          </w:p>
        </w:tc>
        <w:tc>
          <w:tcPr>
            <w:tcW w:w="4819" w:type="dxa"/>
            <w:tcBorders>
              <w:top w:val="nil"/>
              <w:left w:val="nil"/>
              <w:bottom w:val="single" w:sz="4" w:space="0" w:color="auto"/>
              <w:right w:val="single" w:sz="4" w:space="0" w:color="auto"/>
            </w:tcBorders>
            <w:vAlign w:val="center"/>
            <w:hideMark/>
          </w:tcPr>
          <w:p w14:paraId="6AEFC18F" w14:textId="77777777" w:rsidR="001759E4" w:rsidRDefault="001759E4">
            <w:pPr>
              <w:spacing w:line="276" w:lineRule="auto"/>
              <w:jc w:val="both"/>
              <w:rPr>
                <w:rFonts w:ascii="Tahoma" w:hAnsi="Tahoma" w:cs="Tahoma"/>
                <w:color w:val="000000"/>
                <w:kern w:val="2"/>
                <w:sz w:val="20"/>
                <w:szCs w:val="20"/>
              </w:rPr>
            </w:pPr>
            <w:r>
              <w:rPr>
                <w:rFonts w:ascii="Tahoma" w:hAnsi="Tahoma" w:cs="Tahoma"/>
                <w:color w:val="000000"/>
                <w:kern w:val="2"/>
                <w:sz w:val="20"/>
                <w:szCs w:val="20"/>
              </w:rPr>
              <w:t>podpora vzniku transformačních plánů, podpora přechodu od poskytování ústavní péče po komunitní péči zaměřenou na dítě</w:t>
            </w:r>
          </w:p>
        </w:tc>
      </w:tr>
      <w:tr w:rsidR="001759E4" w14:paraId="0C742B8E" w14:textId="77777777" w:rsidTr="00530E95">
        <w:trPr>
          <w:trHeight w:val="411"/>
        </w:trPr>
        <w:tc>
          <w:tcPr>
            <w:tcW w:w="3580" w:type="dxa"/>
            <w:tcBorders>
              <w:top w:val="single" w:sz="4" w:space="0" w:color="auto"/>
              <w:left w:val="single" w:sz="4" w:space="0" w:color="auto"/>
              <w:bottom w:val="single" w:sz="4" w:space="0" w:color="auto"/>
              <w:right w:val="single" w:sz="4" w:space="0" w:color="auto"/>
            </w:tcBorders>
            <w:vAlign w:val="center"/>
          </w:tcPr>
          <w:p w14:paraId="090EAFA5" w14:textId="77777777" w:rsidR="001759E4" w:rsidRDefault="001759E4">
            <w:pPr>
              <w:spacing w:line="276" w:lineRule="auto"/>
              <w:jc w:val="both"/>
              <w:rPr>
                <w:rFonts w:ascii="Tahoma" w:hAnsi="Tahoma" w:cs="Tahoma"/>
                <w:color w:val="000000"/>
                <w:kern w:val="2"/>
                <w:sz w:val="20"/>
                <w:szCs w:val="20"/>
              </w:rPr>
            </w:pPr>
            <w:r w:rsidRPr="00530E95">
              <w:rPr>
                <w:rFonts w:ascii="Tahoma" w:hAnsi="Tahoma" w:cs="Tahoma"/>
                <w:b/>
                <w:color w:val="000000"/>
                <w:kern w:val="2"/>
                <w:sz w:val="20"/>
                <w:szCs w:val="20"/>
              </w:rPr>
              <w:t>CELKEM</w:t>
            </w:r>
          </w:p>
        </w:tc>
        <w:tc>
          <w:tcPr>
            <w:tcW w:w="1377" w:type="dxa"/>
            <w:tcBorders>
              <w:top w:val="single" w:sz="4" w:space="0" w:color="auto"/>
              <w:left w:val="nil"/>
              <w:bottom w:val="single" w:sz="4" w:space="0" w:color="auto"/>
              <w:right w:val="single" w:sz="4" w:space="0" w:color="auto"/>
            </w:tcBorders>
            <w:noWrap/>
            <w:vAlign w:val="center"/>
          </w:tcPr>
          <w:p w14:paraId="1374F70E" w14:textId="77777777" w:rsidR="001759E4" w:rsidRDefault="001759E4">
            <w:pPr>
              <w:spacing w:line="276" w:lineRule="auto"/>
              <w:jc w:val="both"/>
              <w:rPr>
                <w:rFonts w:ascii="Tahoma" w:hAnsi="Tahoma" w:cs="Tahoma"/>
                <w:color w:val="000000"/>
                <w:kern w:val="2"/>
                <w:sz w:val="20"/>
                <w:szCs w:val="20"/>
              </w:rPr>
            </w:pPr>
            <w:r w:rsidRPr="00530E95">
              <w:rPr>
                <w:rFonts w:ascii="Tahoma" w:hAnsi="Tahoma" w:cs="Tahoma"/>
                <w:b/>
                <w:bCs/>
                <w:color w:val="000000"/>
                <w:kern w:val="2"/>
                <w:sz w:val="20"/>
                <w:szCs w:val="20"/>
              </w:rPr>
              <w:t>1 568 000</w:t>
            </w:r>
          </w:p>
        </w:tc>
        <w:tc>
          <w:tcPr>
            <w:tcW w:w="4819" w:type="dxa"/>
            <w:tcBorders>
              <w:top w:val="single" w:sz="4" w:space="0" w:color="auto"/>
              <w:left w:val="nil"/>
              <w:bottom w:val="single" w:sz="4" w:space="0" w:color="auto"/>
              <w:right w:val="single" w:sz="4" w:space="0" w:color="auto"/>
            </w:tcBorders>
            <w:vAlign w:val="center"/>
          </w:tcPr>
          <w:p w14:paraId="09368AB6" w14:textId="77777777" w:rsidR="001759E4" w:rsidRDefault="001759E4">
            <w:pPr>
              <w:spacing w:line="276" w:lineRule="auto"/>
              <w:jc w:val="both"/>
              <w:rPr>
                <w:rFonts w:ascii="Tahoma" w:hAnsi="Tahoma" w:cs="Tahoma"/>
                <w:color w:val="000000"/>
                <w:kern w:val="2"/>
                <w:sz w:val="20"/>
                <w:szCs w:val="20"/>
              </w:rPr>
            </w:pPr>
          </w:p>
        </w:tc>
      </w:tr>
    </w:tbl>
    <w:p w14:paraId="5FB7AC58" w14:textId="77777777" w:rsidR="001759E4" w:rsidRPr="009932CC" w:rsidRDefault="001759E4" w:rsidP="009932CC">
      <w:pPr>
        <w:pStyle w:val="KUJKnormal"/>
      </w:pPr>
    </w:p>
    <w:p w14:paraId="245B89EE" w14:textId="77777777" w:rsidR="001759E4" w:rsidRDefault="001759E4" w:rsidP="001D45CE">
      <w:pPr>
        <w:pStyle w:val="KUJKnormal"/>
      </w:pPr>
    </w:p>
    <w:p w14:paraId="66C740C2" w14:textId="77777777" w:rsidR="001759E4" w:rsidRDefault="001759E4" w:rsidP="001D45CE">
      <w:pPr>
        <w:pStyle w:val="KUJKnormal"/>
      </w:pPr>
    </w:p>
    <w:p w14:paraId="050C2F64" w14:textId="77777777" w:rsidR="001759E4" w:rsidRDefault="001759E4" w:rsidP="001D45CE">
      <w:pPr>
        <w:pStyle w:val="KUJKnormal"/>
      </w:pPr>
      <w:r>
        <w:t>Finanční nároky a krytí: Pro Jihočeský kraj neplynou z tohoto Dodatku ke smlouvě žádné finanční závazky.</w:t>
      </w:r>
    </w:p>
    <w:p w14:paraId="3F82CBCC" w14:textId="77777777" w:rsidR="001759E4" w:rsidRDefault="001759E4" w:rsidP="001D45CE">
      <w:pPr>
        <w:pStyle w:val="KUJKnormal"/>
      </w:pPr>
    </w:p>
    <w:p w14:paraId="17D11AFE" w14:textId="77777777" w:rsidR="001759E4" w:rsidRDefault="001759E4" w:rsidP="001D45CE">
      <w:pPr>
        <w:pStyle w:val="KUJKnormal"/>
      </w:pPr>
    </w:p>
    <w:p w14:paraId="4C05397F" w14:textId="77777777" w:rsidR="001759E4" w:rsidRDefault="001759E4" w:rsidP="001D45CE">
      <w:pPr>
        <w:pStyle w:val="KUJKnormal"/>
      </w:pPr>
      <w:r>
        <w:t>Vyjádření správce rozpočtu: Bc. Blanka Klímová (OEKO):</w:t>
      </w:r>
      <w:r w:rsidRPr="007666AA">
        <w:t xml:space="preserve"> </w:t>
      </w:r>
      <w:r>
        <w:t xml:space="preserve"> Souhlasím</w:t>
      </w:r>
      <w:r w:rsidRPr="007666AA">
        <w:t xml:space="preserve"> - </w:t>
      </w:r>
      <w:r>
        <w:t xml:space="preserve"> s prodloužením termínu smlouvy. Podle vyúčtovacích dokladů bude následně účtováno o přijetí daru a pořízení poskytnutých služeb.  </w:t>
      </w:r>
    </w:p>
    <w:p w14:paraId="7F7B91F4" w14:textId="77777777" w:rsidR="001759E4" w:rsidRDefault="001759E4" w:rsidP="001D45CE">
      <w:pPr>
        <w:pStyle w:val="KUJKnormal"/>
      </w:pPr>
    </w:p>
    <w:p w14:paraId="429B2F28" w14:textId="77777777" w:rsidR="001759E4" w:rsidRDefault="001759E4" w:rsidP="001D45CE">
      <w:pPr>
        <w:pStyle w:val="KUJKnormal"/>
      </w:pPr>
    </w:p>
    <w:p w14:paraId="566CF290" w14:textId="77777777" w:rsidR="001759E4" w:rsidRDefault="001759E4" w:rsidP="00783BA1">
      <w:pPr>
        <w:pStyle w:val="KUJKnormal"/>
      </w:pPr>
      <w:r>
        <w:t>Návrh projednán (stanoviska): Projednáno Radou Jihočeského kraje dne 29. 8. 2024 a doporučeno Zastupitelstvu Jihočeského kraje ke schválení.</w:t>
      </w:r>
    </w:p>
    <w:p w14:paraId="2CA260C5" w14:textId="77777777" w:rsidR="001759E4" w:rsidRDefault="001759E4" w:rsidP="001D45CE">
      <w:pPr>
        <w:pStyle w:val="KUJKnormal"/>
      </w:pPr>
    </w:p>
    <w:p w14:paraId="6C6732F7" w14:textId="77777777" w:rsidR="001759E4" w:rsidRDefault="001759E4" w:rsidP="001D45CE">
      <w:pPr>
        <w:pStyle w:val="KUJKnormal"/>
      </w:pPr>
    </w:p>
    <w:p w14:paraId="4E1B1FEC" w14:textId="77777777" w:rsidR="001759E4" w:rsidRDefault="001759E4" w:rsidP="001D45CE">
      <w:pPr>
        <w:pStyle w:val="KUJKnormal"/>
      </w:pPr>
    </w:p>
    <w:p w14:paraId="01A473AF" w14:textId="77777777" w:rsidR="001759E4" w:rsidRPr="007939A8" w:rsidRDefault="001759E4" w:rsidP="001D45CE">
      <w:pPr>
        <w:pStyle w:val="KUJKtucny"/>
      </w:pPr>
      <w:r w:rsidRPr="007939A8">
        <w:t>PŘÍLOHY:</w:t>
      </w:r>
    </w:p>
    <w:p w14:paraId="1CF6B6FA" w14:textId="77777777" w:rsidR="001759E4" w:rsidRPr="00B52AA9" w:rsidRDefault="001759E4" w:rsidP="00783BA1">
      <w:pPr>
        <w:pStyle w:val="KUJKcislovany"/>
      </w:pPr>
      <w:r>
        <w:t>Smlouva o spolupráci</w:t>
      </w:r>
      <w:r w:rsidRPr="0081756D">
        <w:t xml:space="preserve"> (</w:t>
      </w:r>
      <w:r>
        <w:t>Smlouva o spolupráci.pdf</w:t>
      </w:r>
      <w:r w:rsidRPr="0081756D">
        <w:t>)</w:t>
      </w:r>
    </w:p>
    <w:p w14:paraId="3FD6435A" w14:textId="77777777" w:rsidR="001759E4" w:rsidRPr="00B52AA9" w:rsidRDefault="001759E4" w:rsidP="00783BA1">
      <w:pPr>
        <w:pStyle w:val="KUJKcislovany"/>
      </w:pPr>
      <w:r>
        <w:t>Dodatek č. 1 ke smlouvě o spolupráci</w:t>
      </w:r>
      <w:r w:rsidRPr="0081756D">
        <w:t xml:space="preserve"> (</w:t>
      </w:r>
      <w:r>
        <w:t>Dodatek c. 1 ke smlouvě o spolupráci.docx</w:t>
      </w:r>
      <w:r w:rsidRPr="0081756D">
        <w:t>)</w:t>
      </w:r>
    </w:p>
    <w:p w14:paraId="19E2B152" w14:textId="77777777" w:rsidR="001759E4" w:rsidRDefault="001759E4" w:rsidP="001D45CE">
      <w:pPr>
        <w:pStyle w:val="KUJKnormal"/>
      </w:pPr>
    </w:p>
    <w:p w14:paraId="28B95BE0" w14:textId="77777777" w:rsidR="001759E4" w:rsidRDefault="001759E4" w:rsidP="001D45CE">
      <w:pPr>
        <w:pStyle w:val="KUJKtucny"/>
      </w:pPr>
    </w:p>
    <w:p w14:paraId="6A0665FB" w14:textId="77777777" w:rsidR="001759E4" w:rsidRPr="007C1EE7" w:rsidRDefault="001759E4" w:rsidP="001D45CE">
      <w:pPr>
        <w:pStyle w:val="KUJKtucny"/>
      </w:pPr>
      <w:r w:rsidRPr="007C1EE7">
        <w:t>Zodpovídá:</w:t>
      </w:r>
      <w:r>
        <w:t xml:space="preserve"> </w:t>
      </w:r>
      <w:r w:rsidRPr="00A60C00">
        <w:rPr>
          <w:b w:val="0"/>
          <w:bCs/>
        </w:rPr>
        <w:t xml:space="preserve">vedoucí odboru </w:t>
      </w:r>
      <w:r>
        <w:rPr>
          <w:b w:val="0"/>
          <w:bCs/>
        </w:rPr>
        <w:t>–</w:t>
      </w:r>
      <w:r w:rsidRPr="00A60C00">
        <w:rPr>
          <w:b w:val="0"/>
          <w:bCs/>
        </w:rPr>
        <w:t xml:space="preserve"> Ing. Hana Šímová</w:t>
      </w:r>
    </w:p>
    <w:p w14:paraId="12834493" w14:textId="77777777" w:rsidR="001759E4" w:rsidRDefault="001759E4" w:rsidP="001D45CE">
      <w:pPr>
        <w:pStyle w:val="KUJKnormal"/>
      </w:pPr>
    </w:p>
    <w:p w14:paraId="50EA6E94" w14:textId="77777777" w:rsidR="001759E4" w:rsidRDefault="001759E4" w:rsidP="001D45CE">
      <w:pPr>
        <w:pStyle w:val="KUJKnormal"/>
      </w:pPr>
      <w:r>
        <w:t>Termín kontroly: 18. 9. 2024</w:t>
      </w:r>
    </w:p>
    <w:p w14:paraId="4CA0FFED" w14:textId="77777777" w:rsidR="001759E4" w:rsidRDefault="001759E4" w:rsidP="0027044E">
      <w:pPr>
        <w:pStyle w:val="KUJKnormal"/>
      </w:pPr>
      <w:r>
        <w:t>Termín splnění: 18. 9. 2024</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59142" w14:textId="77777777" w:rsidR="001759E4" w:rsidRDefault="001759E4" w:rsidP="001759E4">
    <w:r>
      <w:rPr>
        <w:noProof/>
      </w:rPr>
      <w:pict w14:anchorId="162E543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86107B4" w14:textId="77777777" w:rsidR="001759E4" w:rsidRPr="005F485E" w:rsidRDefault="001759E4" w:rsidP="001759E4">
                <w:pPr>
                  <w:spacing w:after="60"/>
                  <w:rPr>
                    <w:rFonts w:ascii="Arial" w:hAnsi="Arial" w:cs="Arial"/>
                    <w:b/>
                    <w:sz w:val="22"/>
                  </w:rPr>
                </w:pPr>
                <w:r w:rsidRPr="005F485E">
                  <w:rPr>
                    <w:rFonts w:ascii="Arial" w:hAnsi="Arial" w:cs="Arial"/>
                    <w:b/>
                    <w:sz w:val="22"/>
                  </w:rPr>
                  <w:t>ZASTUPITELSTVO JIHOČESKÉHO KRAJE</w:t>
                </w:r>
              </w:p>
              <w:p w14:paraId="5D71528A" w14:textId="77777777" w:rsidR="001759E4" w:rsidRPr="005F485E" w:rsidRDefault="001759E4" w:rsidP="001759E4">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A626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7224B1F" w14:textId="77777777" w:rsidR="001759E4" w:rsidRDefault="001759E4" w:rsidP="001759E4">
    <w:r>
      <w:pict w14:anchorId="7B8780B1">
        <v:rect id="_x0000_i1026" style="width:481.9pt;height:2pt" o:hralign="center" o:hrstd="t" o:hrnoshade="t" o:hr="t" fillcolor="black" stroked="f"/>
      </w:pict>
    </w:r>
  </w:p>
  <w:p w14:paraId="7B3F1B8B" w14:textId="77777777" w:rsidR="001759E4" w:rsidRPr="001759E4" w:rsidRDefault="001759E4" w:rsidP="001759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F52CD"/>
    <w:multiLevelType w:val="hybridMultilevel"/>
    <w:tmpl w:val="A52037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940214"/>
    <w:multiLevelType w:val="hybridMultilevel"/>
    <w:tmpl w:val="AB706E6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8939257">
    <w:abstractNumId w:val="1"/>
  </w:num>
  <w:num w:numId="2" w16cid:durableId="1302541343">
    <w:abstractNumId w:val="3"/>
  </w:num>
  <w:num w:numId="3" w16cid:durableId="1998343063">
    <w:abstractNumId w:val="11"/>
  </w:num>
  <w:num w:numId="4" w16cid:durableId="1730885837">
    <w:abstractNumId w:val="9"/>
  </w:num>
  <w:num w:numId="5" w16cid:durableId="214320034">
    <w:abstractNumId w:val="0"/>
  </w:num>
  <w:num w:numId="6" w16cid:durableId="1642878575">
    <w:abstractNumId w:val="5"/>
  </w:num>
  <w:num w:numId="7" w16cid:durableId="1052853256">
    <w:abstractNumId w:val="8"/>
  </w:num>
  <w:num w:numId="8" w16cid:durableId="690913267">
    <w:abstractNumId w:val="6"/>
  </w:num>
  <w:num w:numId="9" w16cid:durableId="344016491">
    <w:abstractNumId w:val="7"/>
  </w:num>
  <w:num w:numId="10" w16cid:durableId="906570567">
    <w:abstractNumId w:val="10"/>
  </w:num>
  <w:num w:numId="11" w16cid:durableId="903218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3338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59E4"/>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78D"/>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4BE"/>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1760</Words>
  <Characters>10385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2024-09-13T11:43:00Z</dcterms:created>
  <dcterms:modified xsi:type="dcterms:W3CDTF">2024-09-13T11:43:00Z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6459341</vt:i4>
  </property>
  <property fmtid="{D5CDD505-2E9C-101B-9397-08002B2CF9AE}" pid="4" name="ID_Navrh">
    <vt:i4>6636137</vt:i4>
  </property>
  <property fmtid="{D5CDD505-2E9C-101B-9397-08002B2CF9AE}" pid="5" name="UlozitJako">
    <vt:lpwstr>C:\Users\mrazkova\AppData\Local\Temp\iU64793032\Zastupitelstvo\2024-09-12\Navrhy\319-ZK-24.</vt:lpwstr>
  </property>
  <property fmtid="{D5CDD505-2E9C-101B-9397-08002B2CF9AE}" pid="6" name="Zpracovat">
    <vt:bool>false</vt:bool>
  </property>
</Properties>
</file>