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14E58" w14:paraId="372AB000" w14:textId="77777777" w:rsidTr="00BF2C1D">
        <w:trPr>
          <w:trHeight w:hRule="exact" w:val="397"/>
        </w:trPr>
        <w:tc>
          <w:tcPr>
            <w:tcW w:w="2376" w:type="dxa"/>
            <w:hideMark/>
          </w:tcPr>
          <w:p w14:paraId="424867C6" w14:textId="77777777" w:rsidR="00814E58" w:rsidRDefault="00814E58" w:rsidP="00970720">
            <w:pPr>
              <w:pStyle w:val="KUJKtucny"/>
            </w:pPr>
            <w:r>
              <w:t>Datum jednání:</w:t>
            </w:r>
          </w:p>
        </w:tc>
        <w:tc>
          <w:tcPr>
            <w:tcW w:w="3828" w:type="dxa"/>
            <w:hideMark/>
          </w:tcPr>
          <w:p w14:paraId="6EC1E826" w14:textId="77777777" w:rsidR="00814E58" w:rsidRDefault="00814E58" w:rsidP="00970720">
            <w:pPr>
              <w:pStyle w:val="KUJKnormal"/>
            </w:pPr>
            <w:r>
              <w:t>20. 06. 2024</w:t>
            </w:r>
          </w:p>
        </w:tc>
        <w:tc>
          <w:tcPr>
            <w:tcW w:w="2126" w:type="dxa"/>
            <w:hideMark/>
          </w:tcPr>
          <w:p w14:paraId="1FF3F61D" w14:textId="77777777" w:rsidR="00814E58" w:rsidRDefault="00814E58" w:rsidP="00970720">
            <w:pPr>
              <w:pStyle w:val="KUJKtucny"/>
            </w:pPr>
            <w:r>
              <w:t xml:space="preserve">Bod programu: </w:t>
            </w:r>
            <w:r w:rsidRPr="00E4089B">
              <w:rPr>
                <w:sz w:val="32"/>
                <w:szCs w:val="32"/>
              </w:rPr>
              <w:t>26</w:t>
            </w:r>
          </w:p>
        </w:tc>
        <w:tc>
          <w:tcPr>
            <w:tcW w:w="850" w:type="dxa"/>
          </w:tcPr>
          <w:p w14:paraId="6D357732" w14:textId="77777777" w:rsidR="00814E58" w:rsidRDefault="00814E58" w:rsidP="00970720">
            <w:pPr>
              <w:pStyle w:val="KUJKnormal"/>
            </w:pPr>
          </w:p>
        </w:tc>
      </w:tr>
      <w:tr w:rsidR="00814E58" w14:paraId="3B97F506" w14:textId="77777777" w:rsidTr="00BF2C1D">
        <w:trPr>
          <w:cantSplit/>
          <w:trHeight w:hRule="exact" w:val="397"/>
        </w:trPr>
        <w:tc>
          <w:tcPr>
            <w:tcW w:w="2376" w:type="dxa"/>
            <w:hideMark/>
          </w:tcPr>
          <w:p w14:paraId="7BAECD22" w14:textId="77777777" w:rsidR="00814E58" w:rsidRDefault="00814E58" w:rsidP="00970720">
            <w:pPr>
              <w:pStyle w:val="KUJKtucny"/>
            </w:pPr>
            <w:r>
              <w:t>Číslo návrhu:</w:t>
            </w:r>
          </w:p>
        </w:tc>
        <w:tc>
          <w:tcPr>
            <w:tcW w:w="6804" w:type="dxa"/>
            <w:gridSpan w:val="3"/>
            <w:hideMark/>
          </w:tcPr>
          <w:p w14:paraId="7C008915" w14:textId="77777777" w:rsidR="00814E58" w:rsidRDefault="00814E58" w:rsidP="00970720">
            <w:pPr>
              <w:pStyle w:val="KUJKnormal"/>
            </w:pPr>
            <w:r>
              <w:t>258/ZK/24</w:t>
            </w:r>
          </w:p>
        </w:tc>
      </w:tr>
      <w:tr w:rsidR="00814E58" w14:paraId="482F2AD7" w14:textId="77777777" w:rsidTr="00BF2C1D">
        <w:trPr>
          <w:trHeight w:val="397"/>
        </w:trPr>
        <w:tc>
          <w:tcPr>
            <w:tcW w:w="2376" w:type="dxa"/>
          </w:tcPr>
          <w:p w14:paraId="4F9FAD89" w14:textId="77777777" w:rsidR="00814E58" w:rsidRDefault="00814E58" w:rsidP="00970720"/>
          <w:p w14:paraId="3BD1501D" w14:textId="77777777" w:rsidR="00814E58" w:rsidRDefault="00814E58" w:rsidP="00970720">
            <w:pPr>
              <w:pStyle w:val="KUJKtucny"/>
            </w:pPr>
            <w:r>
              <w:t>Název bodu:</w:t>
            </w:r>
          </w:p>
        </w:tc>
        <w:tc>
          <w:tcPr>
            <w:tcW w:w="6804" w:type="dxa"/>
            <w:gridSpan w:val="3"/>
          </w:tcPr>
          <w:p w14:paraId="67FB3F3A" w14:textId="77777777" w:rsidR="00814E58" w:rsidRDefault="00814E58" w:rsidP="00970720"/>
          <w:p w14:paraId="2CB573FB" w14:textId="77777777" w:rsidR="00814E58" w:rsidRDefault="00814E58" w:rsidP="00970720">
            <w:pPr>
              <w:pStyle w:val="KUJKtucny"/>
              <w:rPr>
                <w:sz w:val="22"/>
                <w:szCs w:val="22"/>
              </w:rPr>
            </w:pPr>
            <w:r>
              <w:rPr>
                <w:sz w:val="22"/>
                <w:szCs w:val="22"/>
              </w:rPr>
              <w:t>Návrh na odpis nedobytné pohledávky</w:t>
            </w:r>
          </w:p>
        </w:tc>
      </w:tr>
    </w:tbl>
    <w:p w14:paraId="548B5EF5" w14:textId="77777777" w:rsidR="00814E58" w:rsidRDefault="00814E58" w:rsidP="00BF2C1D">
      <w:pPr>
        <w:pStyle w:val="KUJKnormal"/>
        <w:rPr>
          <w:b/>
          <w:bCs/>
        </w:rPr>
      </w:pPr>
      <w:r>
        <w:rPr>
          <w:b/>
          <w:bCs/>
        </w:rPr>
        <w:pict w14:anchorId="5E998321">
          <v:rect id="_x0000_i1029" style="width:453.6pt;height:1.5pt" o:hralign="center" o:hrstd="t" o:hrnoshade="t" o:hr="t" fillcolor="black" stroked="f"/>
        </w:pict>
      </w:r>
    </w:p>
    <w:p w14:paraId="01C6C994" w14:textId="77777777" w:rsidR="00814E58" w:rsidRDefault="00814E58" w:rsidP="00BF2C1D">
      <w:pPr>
        <w:pStyle w:val="KUJKnormal"/>
      </w:pPr>
    </w:p>
    <w:p w14:paraId="422FEDCF" w14:textId="77777777" w:rsidR="00814E58" w:rsidRDefault="00814E58" w:rsidP="00BF2C1D"/>
    <w:tbl>
      <w:tblPr>
        <w:tblW w:w="0" w:type="auto"/>
        <w:tblCellMar>
          <w:left w:w="70" w:type="dxa"/>
          <w:right w:w="70" w:type="dxa"/>
        </w:tblCellMar>
        <w:tblLook w:val="04A0" w:firstRow="1" w:lastRow="0" w:firstColumn="1" w:lastColumn="0" w:noHBand="0" w:noVBand="1"/>
      </w:tblPr>
      <w:tblGrid>
        <w:gridCol w:w="2350"/>
        <w:gridCol w:w="6862"/>
      </w:tblGrid>
      <w:tr w:rsidR="00814E58" w14:paraId="01B82E05" w14:textId="77777777" w:rsidTr="002559B8">
        <w:trPr>
          <w:trHeight w:val="397"/>
        </w:trPr>
        <w:tc>
          <w:tcPr>
            <w:tcW w:w="2350" w:type="dxa"/>
            <w:hideMark/>
          </w:tcPr>
          <w:p w14:paraId="43C2FD23" w14:textId="77777777" w:rsidR="00814E58" w:rsidRDefault="00814E58" w:rsidP="002559B8">
            <w:pPr>
              <w:pStyle w:val="KUJKtucny"/>
            </w:pPr>
            <w:r>
              <w:t>Předkladatel:</w:t>
            </w:r>
          </w:p>
        </w:tc>
        <w:tc>
          <w:tcPr>
            <w:tcW w:w="6862" w:type="dxa"/>
          </w:tcPr>
          <w:p w14:paraId="2A75F784" w14:textId="77777777" w:rsidR="00814E58" w:rsidRDefault="00814E58" w:rsidP="002559B8">
            <w:pPr>
              <w:pStyle w:val="KUJKnormal"/>
            </w:pPr>
            <w:r>
              <w:t>doc. Ing. Lucie Kozlová, Ph.D.</w:t>
            </w:r>
          </w:p>
          <w:p w14:paraId="0AA54797" w14:textId="77777777" w:rsidR="00814E58" w:rsidRDefault="00814E58" w:rsidP="002559B8"/>
        </w:tc>
      </w:tr>
      <w:tr w:rsidR="00814E58" w14:paraId="3FF872B6" w14:textId="77777777" w:rsidTr="002559B8">
        <w:trPr>
          <w:trHeight w:val="397"/>
        </w:trPr>
        <w:tc>
          <w:tcPr>
            <w:tcW w:w="2350" w:type="dxa"/>
          </w:tcPr>
          <w:p w14:paraId="11CA3835" w14:textId="77777777" w:rsidR="00814E58" w:rsidRDefault="00814E58" w:rsidP="002559B8">
            <w:pPr>
              <w:pStyle w:val="KUJKtucny"/>
            </w:pPr>
            <w:r>
              <w:t>Zpracoval:</w:t>
            </w:r>
          </w:p>
          <w:p w14:paraId="15DAFA30" w14:textId="77777777" w:rsidR="00814E58" w:rsidRDefault="00814E58" w:rsidP="002559B8"/>
        </w:tc>
        <w:tc>
          <w:tcPr>
            <w:tcW w:w="6862" w:type="dxa"/>
            <w:hideMark/>
          </w:tcPr>
          <w:p w14:paraId="0CBCBF02" w14:textId="77777777" w:rsidR="00814E58" w:rsidRDefault="00814E58" w:rsidP="002559B8">
            <w:pPr>
              <w:pStyle w:val="KUJKnormal"/>
            </w:pPr>
            <w:r>
              <w:t>OSOV</w:t>
            </w:r>
          </w:p>
        </w:tc>
      </w:tr>
      <w:tr w:rsidR="00814E58" w14:paraId="06955D89" w14:textId="77777777" w:rsidTr="002559B8">
        <w:trPr>
          <w:trHeight w:val="397"/>
        </w:trPr>
        <w:tc>
          <w:tcPr>
            <w:tcW w:w="2350" w:type="dxa"/>
          </w:tcPr>
          <w:p w14:paraId="395598CB" w14:textId="77777777" w:rsidR="00814E58" w:rsidRPr="009715F9" w:rsidRDefault="00814E58" w:rsidP="002559B8">
            <w:pPr>
              <w:pStyle w:val="KUJKnormal"/>
              <w:rPr>
                <w:b/>
              </w:rPr>
            </w:pPr>
            <w:r w:rsidRPr="009715F9">
              <w:rPr>
                <w:b/>
              </w:rPr>
              <w:t>Vedoucí odboru:</w:t>
            </w:r>
          </w:p>
          <w:p w14:paraId="23D37412" w14:textId="77777777" w:rsidR="00814E58" w:rsidRDefault="00814E58" w:rsidP="002559B8"/>
        </w:tc>
        <w:tc>
          <w:tcPr>
            <w:tcW w:w="6862" w:type="dxa"/>
            <w:hideMark/>
          </w:tcPr>
          <w:p w14:paraId="0218A598" w14:textId="77777777" w:rsidR="00814E58" w:rsidRDefault="00814E58" w:rsidP="002559B8">
            <w:pPr>
              <w:pStyle w:val="KUJKnormal"/>
            </w:pPr>
            <w:r>
              <w:t>Mgr. Pavla Doubková</w:t>
            </w:r>
          </w:p>
        </w:tc>
      </w:tr>
    </w:tbl>
    <w:p w14:paraId="2B3215C8" w14:textId="77777777" w:rsidR="00814E58" w:rsidRDefault="00814E58" w:rsidP="00BF2C1D">
      <w:pPr>
        <w:pStyle w:val="KUJKnormal"/>
      </w:pPr>
    </w:p>
    <w:p w14:paraId="3B7A6F4A" w14:textId="77777777" w:rsidR="00814E58" w:rsidRPr="0052161F" w:rsidRDefault="00814E58" w:rsidP="00BF2C1D">
      <w:pPr>
        <w:pStyle w:val="KUJKtucny"/>
      </w:pPr>
      <w:r w:rsidRPr="0052161F">
        <w:t>NÁVRH USNESENÍ</w:t>
      </w:r>
    </w:p>
    <w:p w14:paraId="630C4C13" w14:textId="77777777" w:rsidR="00814E58" w:rsidRDefault="00814E58" w:rsidP="00BF2C1D">
      <w:pPr>
        <w:pStyle w:val="KUJKnormal"/>
        <w:rPr>
          <w:rFonts w:ascii="Calibri" w:hAnsi="Calibri" w:cs="Calibri"/>
          <w:sz w:val="12"/>
          <w:szCs w:val="12"/>
        </w:rPr>
      </w:pPr>
      <w:bookmarkStart w:id="0" w:name="US_ZaVeVeci"/>
      <w:bookmarkEnd w:id="0"/>
    </w:p>
    <w:p w14:paraId="69CF637F" w14:textId="77777777" w:rsidR="00814E58" w:rsidRPr="00841DFC" w:rsidRDefault="00814E58" w:rsidP="00BF2C1D">
      <w:pPr>
        <w:pStyle w:val="KUJKPolozka"/>
      </w:pPr>
      <w:r w:rsidRPr="00841DFC">
        <w:t>Zastupitelstvo Jihočeského kraje</w:t>
      </w:r>
    </w:p>
    <w:p w14:paraId="5428DCDF" w14:textId="77777777" w:rsidR="00814E58" w:rsidRPr="00E10FE7" w:rsidRDefault="00814E58" w:rsidP="00FE0EE2">
      <w:pPr>
        <w:pStyle w:val="KUJKdoplnek2"/>
        <w:numPr>
          <w:ilvl w:val="0"/>
          <w:numId w:val="0"/>
        </w:numPr>
        <w:ind w:left="360" w:hanging="360"/>
      </w:pPr>
      <w:r w:rsidRPr="00AF7BAE">
        <w:t>schvaluje</w:t>
      </w:r>
    </w:p>
    <w:p w14:paraId="3EAE39C5" w14:textId="77777777" w:rsidR="00814E58" w:rsidRDefault="00814E58" w:rsidP="00FE0EE2">
      <w:pPr>
        <w:pStyle w:val="KUJKPolozka"/>
        <w:numPr>
          <w:ilvl w:val="0"/>
          <w:numId w:val="11"/>
        </w:numPr>
        <w:rPr>
          <w:b w:val="0"/>
          <w:bCs/>
        </w:rPr>
      </w:pPr>
      <w:r>
        <w:rPr>
          <w:b w:val="0"/>
          <w:bCs/>
        </w:rPr>
        <w:t>vzdání se práva a prominutí nedobytné pohledávky pro Domov pro seniory Horní Stropnice</w:t>
      </w:r>
      <w:r>
        <w:rPr>
          <w:b w:val="0"/>
          <w:bCs/>
          <w:color w:val="000000"/>
        </w:rPr>
        <w:t>, Dobrá Voda 54</w:t>
      </w:r>
      <w:r>
        <w:rPr>
          <w:b w:val="0"/>
          <w:bCs/>
        </w:rPr>
        <w:t>, 374 01 Horní Stropnice, IČO 00666254, ve výši 2 034 141,90 Kč</w:t>
      </w:r>
      <w:r>
        <w:rPr>
          <w:b w:val="0"/>
          <w:bCs/>
          <w:color w:val="FF0000"/>
        </w:rPr>
        <w:t xml:space="preserve"> </w:t>
      </w:r>
      <w:r>
        <w:rPr>
          <w:b w:val="0"/>
          <w:bCs/>
        </w:rPr>
        <w:t>v souladu s důvodovou zprávou návrhu č. 258/ZK/24.</w:t>
      </w:r>
    </w:p>
    <w:p w14:paraId="3CEAFD7A" w14:textId="77777777" w:rsidR="00814E58" w:rsidRDefault="00814E58" w:rsidP="00FE0EE2">
      <w:pPr>
        <w:pStyle w:val="KUJKnormal"/>
      </w:pPr>
    </w:p>
    <w:p w14:paraId="1E0B1307" w14:textId="77777777" w:rsidR="00814E58" w:rsidRDefault="00814E58" w:rsidP="00FE0EE2">
      <w:pPr>
        <w:pStyle w:val="KUJKnormal"/>
      </w:pPr>
    </w:p>
    <w:p w14:paraId="29E5C7FD" w14:textId="77777777" w:rsidR="00814E58" w:rsidRDefault="00814E58" w:rsidP="00FE0EE2">
      <w:pPr>
        <w:pStyle w:val="KUJKmezeraDZ"/>
      </w:pPr>
      <w:bookmarkStart w:id="1" w:name="US_DuvodZprava"/>
      <w:bookmarkEnd w:id="1"/>
    </w:p>
    <w:p w14:paraId="6F360395" w14:textId="77777777" w:rsidR="00814E58" w:rsidRDefault="00814E58" w:rsidP="00FE0EE2">
      <w:pPr>
        <w:pStyle w:val="KUJKnadpisDZ"/>
      </w:pPr>
      <w:r>
        <w:t>DŮVODOVÁ ZPRÁVA</w:t>
      </w:r>
    </w:p>
    <w:p w14:paraId="063460B2" w14:textId="77777777" w:rsidR="00814E58" w:rsidRPr="009B7B0B" w:rsidRDefault="00814E58" w:rsidP="00FE0EE2">
      <w:pPr>
        <w:pStyle w:val="KUJKmezeraDZ"/>
      </w:pPr>
    </w:p>
    <w:p w14:paraId="226E3FFE" w14:textId="77777777" w:rsidR="00814E58" w:rsidRPr="00084363" w:rsidRDefault="00814E58" w:rsidP="00084363">
      <w:pPr>
        <w:jc w:val="both"/>
        <w:rPr>
          <w:rFonts w:ascii="Arial" w:hAnsi="Arial" w:cs="Arial"/>
          <w:sz w:val="20"/>
          <w:szCs w:val="20"/>
        </w:rPr>
      </w:pPr>
      <w:r w:rsidRPr="00084363">
        <w:rPr>
          <w:rFonts w:ascii="Arial" w:hAnsi="Arial" w:cs="Arial"/>
          <w:sz w:val="20"/>
          <w:szCs w:val="20"/>
        </w:rPr>
        <w:t>Podle zřizovací listiny příspěvkové organizace, příloha č. 2, je organizace oprávněna vzdát se práva a prominout pohledávku v jednotlivých případech do výše 30 tis. Kč včetně.</w:t>
      </w:r>
    </w:p>
    <w:p w14:paraId="7A99B701" w14:textId="77777777" w:rsidR="00814E58" w:rsidRPr="00084363" w:rsidRDefault="00814E58" w:rsidP="00084363">
      <w:pPr>
        <w:jc w:val="both"/>
        <w:rPr>
          <w:rFonts w:ascii="Arial" w:hAnsi="Arial"/>
          <w:sz w:val="20"/>
          <w:szCs w:val="28"/>
        </w:rPr>
      </w:pPr>
      <w:r>
        <w:rPr>
          <w:rFonts w:ascii="Arial" w:hAnsi="Arial" w:cs="Arial"/>
          <w:sz w:val="20"/>
          <w:szCs w:val="20"/>
        </w:rPr>
        <w:t>Zastupitelstvu</w:t>
      </w:r>
      <w:r w:rsidRPr="00084363">
        <w:rPr>
          <w:rFonts w:ascii="Arial" w:hAnsi="Arial" w:cs="Arial"/>
          <w:sz w:val="20"/>
          <w:szCs w:val="20"/>
        </w:rPr>
        <w:t xml:space="preserve"> kraje je vyhrazeno rozhodnout o </w:t>
      </w:r>
      <w:r w:rsidRPr="005312A2">
        <w:rPr>
          <w:rFonts w:ascii="Arial" w:hAnsi="Arial" w:cs="Arial"/>
          <w:sz w:val="20"/>
          <w:szCs w:val="20"/>
        </w:rPr>
        <w:t xml:space="preserve"> vzdání se práva a prominutí dluhu vyšší než 1 000 000 Kč</w:t>
      </w:r>
      <w:r w:rsidRPr="00084363">
        <w:rPr>
          <w:rFonts w:ascii="Arial" w:hAnsi="Arial" w:cs="Arial"/>
          <w:sz w:val="20"/>
          <w:szCs w:val="20"/>
        </w:rPr>
        <w:t xml:space="preserve"> podle § </w:t>
      </w:r>
      <w:r>
        <w:rPr>
          <w:rFonts w:ascii="Arial" w:hAnsi="Arial" w:cs="Arial"/>
          <w:sz w:val="20"/>
          <w:szCs w:val="20"/>
        </w:rPr>
        <w:t>36</w:t>
      </w:r>
      <w:r w:rsidRPr="00084363">
        <w:rPr>
          <w:rFonts w:ascii="Arial" w:hAnsi="Arial" w:cs="Arial"/>
          <w:sz w:val="20"/>
          <w:szCs w:val="20"/>
        </w:rPr>
        <w:t xml:space="preserve">, písm. </w:t>
      </w:r>
      <w:r>
        <w:rPr>
          <w:rFonts w:ascii="Arial" w:hAnsi="Arial" w:cs="Arial"/>
          <w:sz w:val="20"/>
          <w:szCs w:val="20"/>
        </w:rPr>
        <w:t>d</w:t>
      </w:r>
      <w:r w:rsidRPr="00084363">
        <w:rPr>
          <w:rFonts w:ascii="Arial" w:hAnsi="Arial" w:cs="Arial"/>
          <w:sz w:val="20"/>
          <w:szCs w:val="20"/>
        </w:rPr>
        <w:t>) zák. č. 129/20000 Sb., o krajích, v platném znění.</w:t>
      </w:r>
    </w:p>
    <w:p w14:paraId="760EA95B" w14:textId="77777777" w:rsidR="00814E58" w:rsidRPr="00084363" w:rsidRDefault="00814E58" w:rsidP="00084363">
      <w:pPr>
        <w:contextualSpacing/>
        <w:jc w:val="both"/>
        <w:rPr>
          <w:rFonts w:ascii="Arial" w:hAnsi="Arial" w:cs="Arial"/>
          <w:sz w:val="20"/>
          <w:szCs w:val="28"/>
        </w:rPr>
      </w:pPr>
    </w:p>
    <w:p w14:paraId="2B83FBF9"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0"/>
        </w:rPr>
        <w:t>Výše uvedená organizace předložila dne 30. 4. 2024 žádost o souhlas s odpisem nedobytné pohledávky ve výši 2 034 141,90 Kč vzniklé v období let 2004 - 2014.</w:t>
      </w:r>
    </w:p>
    <w:p w14:paraId="0166594D" w14:textId="77777777" w:rsidR="00814E58" w:rsidRPr="00084363" w:rsidRDefault="00814E58" w:rsidP="00084363">
      <w:pPr>
        <w:contextualSpacing/>
        <w:jc w:val="both"/>
        <w:rPr>
          <w:rFonts w:ascii="Arial" w:hAnsi="Arial" w:cs="Arial"/>
          <w:sz w:val="20"/>
          <w:szCs w:val="28"/>
        </w:rPr>
      </w:pPr>
    </w:p>
    <w:p w14:paraId="4E7C8A48"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Během kontroly Oddělení interního auditu a kontroly Krajského úřadu Jihočeského kraje v příspěvkové organizaci Domov pro seniory Horní Stropnice ve dnech 6. 10. 2014 - 11. 12. 2014, byla zjištěna nepovolená manipulace s prostředky na účtech. </w:t>
      </w:r>
    </w:p>
    <w:p w14:paraId="1AD1C58D"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V letech 2004-2014 docházelo k výraznému zkreslování účetních výkazů, a to především v oblasti nákladů a výdajů. Bývalá ekonomka paní Magda Johnová v těchto letech používala několik osobních bankovních účtů, jichž byla majitelkou a disponentkou. Na tyto účty si neoprávněně převáděla finanční prostředky a prováděla úhrady svých závazků transakcemi, které nebyly podloženy žádnými daňovými doklady zavedenými v účetnictví. Na základě pozměněných faktur, které zaúčtovala do účetnictví, prováděla úhrady ve prospěch svých účtů. Z bankovního účtu Domova pro seniory Horní Stropnice převáděla na své bankovní účty částky výplat na základě výplatních listin zaměstnanců, kterým byla výplata vyplácena v hotovosti. Uvedenou neoprávněnou činností došlo k poškození organizace. Zpronevěřené prostředky byly vyčísleny na 2.356.863,90 Kč. </w:t>
      </w:r>
    </w:p>
    <w:p w14:paraId="7C94658C"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Na bývalou ekonomku paní Magdu Johnovou bylo podáno trestní oznámení a dne 29. 10. 2014 bylo zahájeno trestní stíhání Policií České republiky. Ve dnech 3. 11. - 5. 12. 2014 byly předány zaměstnankyněmi OIAK Krajského úřadu Jihočeského kraje materiály a vysvětlení dokládající činnost bývalé ekonomky v organizaci na PČR. Rozsudkem Okresního soudu České republiky v Českých Budějovicích ze dne 9. 5. 2016 byla paní Magda Johnová uznána vinou ze zpronevěry. Byla jí uložena povinnost zaplatit náhradu škody poškozené organizaci Domov pro seniory Horní Stropnice, Dobrá Voda 54, částku ve výši 2.356.863,90 Kč. </w:t>
      </w:r>
    </w:p>
    <w:p w14:paraId="640895F5"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lastRenderedPageBreak/>
        <w:t>P. Johnová dlužnou částku nezaplatila, proto Domov pro seniory Horní Stropnice podal dne 30. 8. 2016 návrh na nařízení exekuce, na základě kterého Exekutorský úřad Tábor dne 6. 10. 2016 vydal exekuční příkaz č.j. 017 EX 757/16-9. Dle tohoto příkazu byly prováděny srážky z důchodu, později srážky ze mzdy (viz tabulka).</w:t>
      </w:r>
    </w:p>
    <w:tbl>
      <w:tblPr>
        <w:tblpPr w:leftFromText="141" w:rightFromText="141" w:vertAnchor="page" w:horzAnchor="margin" w:tblpY="4261"/>
        <w:tblW w:w="0" w:type="auto"/>
        <w:tblLayout w:type="fixed"/>
        <w:tblLook w:val="04A0" w:firstRow="1" w:lastRow="0" w:firstColumn="1" w:lastColumn="0" w:noHBand="0" w:noVBand="1"/>
      </w:tblPr>
      <w:tblGrid>
        <w:gridCol w:w="2298"/>
        <w:gridCol w:w="2299"/>
        <w:gridCol w:w="2298"/>
        <w:gridCol w:w="2552"/>
      </w:tblGrid>
      <w:tr w:rsidR="00814E58" w:rsidRPr="00084363" w14:paraId="64776FB0" w14:textId="77777777" w:rsidTr="00084363">
        <w:trPr>
          <w:trHeight w:val="134"/>
        </w:trPr>
        <w:tc>
          <w:tcPr>
            <w:tcW w:w="9447" w:type="dxa"/>
            <w:gridSpan w:val="4"/>
            <w:tcBorders>
              <w:top w:val="nil"/>
              <w:left w:val="nil"/>
              <w:bottom w:val="nil"/>
              <w:right w:val="nil"/>
            </w:tcBorders>
            <w:hideMark/>
          </w:tcPr>
          <w:p w14:paraId="386DB9A3"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stav k 9.2.2024 </w:t>
            </w:r>
          </w:p>
        </w:tc>
      </w:tr>
      <w:tr w:rsidR="00814E58" w:rsidRPr="00084363" w14:paraId="54AEF68D" w14:textId="77777777" w:rsidTr="00084363">
        <w:trPr>
          <w:trHeight w:val="145"/>
        </w:trPr>
        <w:tc>
          <w:tcPr>
            <w:tcW w:w="2298" w:type="dxa"/>
            <w:tcBorders>
              <w:top w:val="nil"/>
              <w:left w:val="nil"/>
              <w:bottom w:val="nil"/>
              <w:right w:val="nil"/>
            </w:tcBorders>
            <w:hideMark/>
          </w:tcPr>
          <w:p w14:paraId="5504AC18" w14:textId="77777777" w:rsidR="00814E58" w:rsidRPr="00084363" w:rsidRDefault="00814E58" w:rsidP="00084363">
            <w:pPr>
              <w:contextualSpacing/>
              <w:jc w:val="both"/>
              <w:rPr>
                <w:rFonts w:ascii="Arial" w:hAnsi="Arial" w:cs="Arial"/>
                <w:sz w:val="20"/>
                <w:szCs w:val="28"/>
              </w:rPr>
            </w:pPr>
            <w:r w:rsidRPr="00084363">
              <w:rPr>
                <w:rFonts w:ascii="Arial" w:hAnsi="Arial" w:cs="Arial"/>
                <w:i/>
                <w:iCs/>
                <w:sz w:val="20"/>
                <w:szCs w:val="28"/>
              </w:rPr>
              <w:t xml:space="preserve">rok </w:t>
            </w:r>
          </w:p>
        </w:tc>
        <w:tc>
          <w:tcPr>
            <w:tcW w:w="2299" w:type="dxa"/>
            <w:tcBorders>
              <w:top w:val="nil"/>
              <w:left w:val="nil"/>
              <w:bottom w:val="nil"/>
              <w:right w:val="nil"/>
            </w:tcBorders>
            <w:hideMark/>
          </w:tcPr>
          <w:p w14:paraId="2F4B09E8" w14:textId="77777777" w:rsidR="00814E58" w:rsidRPr="00084363" w:rsidRDefault="00814E58" w:rsidP="00084363">
            <w:pPr>
              <w:contextualSpacing/>
              <w:jc w:val="both"/>
              <w:rPr>
                <w:rFonts w:ascii="Arial" w:hAnsi="Arial" w:cs="Arial"/>
                <w:sz w:val="20"/>
                <w:szCs w:val="28"/>
              </w:rPr>
            </w:pPr>
            <w:r w:rsidRPr="00084363">
              <w:rPr>
                <w:rFonts w:ascii="Arial" w:hAnsi="Arial" w:cs="Arial"/>
                <w:i/>
                <w:iCs/>
                <w:sz w:val="20"/>
                <w:szCs w:val="28"/>
              </w:rPr>
              <w:t xml:space="preserve">částka </w:t>
            </w:r>
          </w:p>
        </w:tc>
        <w:tc>
          <w:tcPr>
            <w:tcW w:w="2298" w:type="dxa"/>
            <w:tcBorders>
              <w:top w:val="nil"/>
              <w:left w:val="nil"/>
              <w:bottom w:val="nil"/>
              <w:right w:val="nil"/>
            </w:tcBorders>
            <w:hideMark/>
          </w:tcPr>
          <w:p w14:paraId="6CC7E66A" w14:textId="77777777" w:rsidR="00814E58" w:rsidRPr="00084363" w:rsidRDefault="00814E58" w:rsidP="00084363">
            <w:pPr>
              <w:contextualSpacing/>
              <w:jc w:val="both"/>
              <w:rPr>
                <w:rFonts w:ascii="Arial" w:hAnsi="Arial" w:cs="Arial"/>
                <w:sz w:val="20"/>
                <w:szCs w:val="28"/>
              </w:rPr>
            </w:pPr>
            <w:r w:rsidRPr="00084363">
              <w:rPr>
                <w:rFonts w:ascii="Arial" w:hAnsi="Arial" w:cs="Arial"/>
                <w:i/>
                <w:iCs/>
                <w:sz w:val="20"/>
                <w:szCs w:val="28"/>
              </w:rPr>
              <w:t xml:space="preserve">splaceno </w:t>
            </w:r>
          </w:p>
        </w:tc>
        <w:tc>
          <w:tcPr>
            <w:tcW w:w="2552" w:type="dxa"/>
            <w:tcBorders>
              <w:top w:val="nil"/>
              <w:left w:val="nil"/>
              <w:bottom w:val="nil"/>
              <w:right w:val="nil"/>
            </w:tcBorders>
            <w:hideMark/>
          </w:tcPr>
          <w:p w14:paraId="4BDF683E" w14:textId="77777777" w:rsidR="00814E58" w:rsidRPr="00084363" w:rsidRDefault="00814E58" w:rsidP="00084363">
            <w:pPr>
              <w:contextualSpacing/>
              <w:jc w:val="both"/>
              <w:rPr>
                <w:rFonts w:ascii="Arial" w:hAnsi="Arial" w:cs="Arial"/>
                <w:sz w:val="20"/>
                <w:szCs w:val="28"/>
              </w:rPr>
            </w:pPr>
            <w:r w:rsidRPr="00084363">
              <w:rPr>
                <w:rFonts w:ascii="Arial" w:hAnsi="Arial" w:cs="Arial"/>
                <w:i/>
                <w:iCs/>
                <w:sz w:val="20"/>
                <w:szCs w:val="28"/>
              </w:rPr>
              <w:t xml:space="preserve">stav účtu 469/0133 </w:t>
            </w:r>
          </w:p>
        </w:tc>
      </w:tr>
      <w:tr w:rsidR="00814E58" w:rsidRPr="00084363" w14:paraId="13721CFF" w14:textId="77777777" w:rsidTr="00084363">
        <w:trPr>
          <w:trHeight w:val="145"/>
        </w:trPr>
        <w:tc>
          <w:tcPr>
            <w:tcW w:w="4597" w:type="dxa"/>
            <w:gridSpan w:val="2"/>
            <w:tcBorders>
              <w:top w:val="nil"/>
              <w:left w:val="nil"/>
              <w:bottom w:val="nil"/>
              <w:right w:val="nil"/>
            </w:tcBorders>
            <w:hideMark/>
          </w:tcPr>
          <w:p w14:paraId="57356BDE"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PS </w:t>
            </w:r>
          </w:p>
        </w:tc>
        <w:tc>
          <w:tcPr>
            <w:tcW w:w="4850" w:type="dxa"/>
            <w:gridSpan w:val="2"/>
            <w:tcBorders>
              <w:top w:val="nil"/>
              <w:left w:val="nil"/>
              <w:bottom w:val="nil"/>
              <w:right w:val="nil"/>
            </w:tcBorders>
            <w:hideMark/>
          </w:tcPr>
          <w:p w14:paraId="37780C06"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2 356 863,90 </w:t>
            </w:r>
          </w:p>
        </w:tc>
      </w:tr>
      <w:tr w:rsidR="00814E58" w:rsidRPr="00084363" w14:paraId="282DD74A" w14:textId="77777777" w:rsidTr="00084363">
        <w:trPr>
          <w:trHeight w:val="145"/>
        </w:trPr>
        <w:tc>
          <w:tcPr>
            <w:tcW w:w="2298" w:type="dxa"/>
            <w:tcBorders>
              <w:top w:val="nil"/>
              <w:left w:val="nil"/>
              <w:bottom w:val="nil"/>
              <w:right w:val="nil"/>
            </w:tcBorders>
            <w:hideMark/>
          </w:tcPr>
          <w:p w14:paraId="1BCF1BCF"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2016 </w:t>
            </w:r>
          </w:p>
        </w:tc>
        <w:tc>
          <w:tcPr>
            <w:tcW w:w="2299" w:type="dxa"/>
            <w:tcBorders>
              <w:top w:val="nil"/>
              <w:left w:val="nil"/>
              <w:bottom w:val="nil"/>
              <w:right w:val="nil"/>
            </w:tcBorders>
            <w:hideMark/>
          </w:tcPr>
          <w:p w14:paraId="736A9E60"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2 000,00 </w:t>
            </w:r>
          </w:p>
        </w:tc>
        <w:tc>
          <w:tcPr>
            <w:tcW w:w="2298" w:type="dxa"/>
            <w:tcBorders>
              <w:top w:val="nil"/>
              <w:left w:val="nil"/>
              <w:bottom w:val="nil"/>
              <w:right w:val="nil"/>
            </w:tcBorders>
            <w:hideMark/>
          </w:tcPr>
          <w:p w14:paraId="5C4AC255"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2 000,00 </w:t>
            </w:r>
          </w:p>
        </w:tc>
        <w:tc>
          <w:tcPr>
            <w:tcW w:w="2552" w:type="dxa"/>
            <w:tcBorders>
              <w:top w:val="nil"/>
              <w:left w:val="nil"/>
              <w:bottom w:val="nil"/>
              <w:right w:val="nil"/>
            </w:tcBorders>
            <w:hideMark/>
          </w:tcPr>
          <w:p w14:paraId="3B0E21A7"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2 354 863,90 </w:t>
            </w:r>
          </w:p>
        </w:tc>
      </w:tr>
      <w:tr w:rsidR="00814E58" w:rsidRPr="00084363" w14:paraId="57699955" w14:textId="77777777" w:rsidTr="00084363">
        <w:trPr>
          <w:trHeight w:val="145"/>
        </w:trPr>
        <w:tc>
          <w:tcPr>
            <w:tcW w:w="2298" w:type="dxa"/>
            <w:tcBorders>
              <w:top w:val="nil"/>
              <w:left w:val="nil"/>
              <w:bottom w:val="nil"/>
              <w:right w:val="nil"/>
            </w:tcBorders>
            <w:hideMark/>
          </w:tcPr>
          <w:p w14:paraId="01A900A3"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2017 </w:t>
            </w:r>
          </w:p>
        </w:tc>
        <w:tc>
          <w:tcPr>
            <w:tcW w:w="2299" w:type="dxa"/>
            <w:tcBorders>
              <w:top w:val="nil"/>
              <w:left w:val="nil"/>
              <w:bottom w:val="nil"/>
              <w:right w:val="nil"/>
            </w:tcBorders>
            <w:hideMark/>
          </w:tcPr>
          <w:p w14:paraId="4B8A1D05"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7 655,00 </w:t>
            </w:r>
          </w:p>
        </w:tc>
        <w:tc>
          <w:tcPr>
            <w:tcW w:w="2298" w:type="dxa"/>
            <w:tcBorders>
              <w:top w:val="nil"/>
              <w:left w:val="nil"/>
              <w:bottom w:val="nil"/>
              <w:right w:val="nil"/>
            </w:tcBorders>
            <w:hideMark/>
          </w:tcPr>
          <w:p w14:paraId="0C881E50"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9 655,00 </w:t>
            </w:r>
          </w:p>
        </w:tc>
        <w:tc>
          <w:tcPr>
            <w:tcW w:w="2552" w:type="dxa"/>
            <w:tcBorders>
              <w:top w:val="nil"/>
              <w:left w:val="nil"/>
              <w:bottom w:val="nil"/>
              <w:right w:val="nil"/>
            </w:tcBorders>
            <w:hideMark/>
          </w:tcPr>
          <w:p w14:paraId="5CFFABAB"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2 347 208,90 </w:t>
            </w:r>
          </w:p>
        </w:tc>
      </w:tr>
      <w:tr w:rsidR="00814E58" w:rsidRPr="00084363" w14:paraId="2DA69E49" w14:textId="77777777" w:rsidTr="00084363">
        <w:trPr>
          <w:trHeight w:val="145"/>
        </w:trPr>
        <w:tc>
          <w:tcPr>
            <w:tcW w:w="2298" w:type="dxa"/>
            <w:tcBorders>
              <w:top w:val="nil"/>
              <w:left w:val="nil"/>
              <w:bottom w:val="nil"/>
              <w:right w:val="nil"/>
            </w:tcBorders>
            <w:hideMark/>
          </w:tcPr>
          <w:p w14:paraId="092C4665"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2018 </w:t>
            </w:r>
          </w:p>
        </w:tc>
        <w:tc>
          <w:tcPr>
            <w:tcW w:w="2299" w:type="dxa"/>
            <w:tcBorders>
              <w:top w:val="nil"/>
              <w:left w:val="nil"/>
              <w:bottom w:val="nil"/>
              <w:right w:val="nil"/>
            </w:tcBorders>
            <w:hideMark/>
          </w:tcPr>
          <w:p w14:paraId="0295557B"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12 367,00 </w:t>
            </w:r>
          </w:p>
        </w:tc>
        <w:tc>
          <w:tcPr>
            <w:tcW w:w="2298" w:type="dxa"/>
            <w:tcBorders>
              <w:top w:val="nil"/>
              <w:left w:val="nil"/>
              <w:bottom w:val="nil"/>
              <w:right w:val="nil"/>
            </w:tcBorders>
            <w:hideMark/>
          </w:tcPr>
          <w:p w14:paraId="35FCF96B"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22 022,00 </w:t>
            </w:r>
          </w:p>
        </w:tc>
        <w:tc>
          <w:tcPr>
            <w:tcW w:w="2552" w:type="dxa"/>
            <w:tcBorders>
              <w:top w:val="nil"/>
              <w:left w:val="nil"/>
              <w:bottom w:val="nil"/>
              <w:right w:val="nil"/>
            </w:tcBorders>
            <w:hideMark/>
          </w:tcPr>
          <w:p w14:paraId="44F95E62"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2 334 841,90 </w:t>
            </w:r>
          </w:p>
        </w:tc>
      </w:tr>
      <w:tr w:rsidR="00814E58" w:rsidRPr="00084363" w14:paraId="35D7830B" w14:textId="77777777" w:rsidTr="00084363">
        <w:trPr>
          <w:trHeight w:val="145"/>
        </w:trPr>
        <w:tc>
          <w:tcPr>
            <w:tcW w:w="2298" w:type="dxa"/>
            <w:tcBorders>
              <w:top w:val="nil"/>
              <w:left w:val="nil"/>
              <w:bottom w:val="nil"/>
              <w:right w:val="nil"/>
            </w:tcBorders>
            <w:hideMark/>
          </w:tcPr>
          <w:p w14:paraId="6C131156"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2019 </w:t>
            </w:r>
          </w:p>
        </w:tc>
        <w:tc>
          <w:tcPr>
            <w:tcW w:w="2299" w:type="dxa"/>
            <w:tcBorders>
              <w:top w:val="nil"/>
              <w:left w:val="nil"/>
              <w:bottom w:val="nil"/>
              <w:right w:val="nil"/>
            </w:tcBorders>
            <w:hideMark/>
          </w:tcPr>
          <w:p w14:paraId="328D00A3"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20 909,00 </w:t>
            </w:r>
          </w:p>
        </w:tc>
        <w:tc>
          <w:tcPr>
            <w:tcW w:w="2298" w:type="dxa"/>
            <w:tcBorders>
              <w:top w:val="nil"/>
              <w:left w:val="nil"/>
              <w:bottom w:val="nil"/>
              <w:right w:val="nil"/>
            </w:tcBorders>
            <w:hideMark/>
          </w:tcPr>
          <w:p w14:paraId="665E325F"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42 931,00 </w:t>
            </w:r>
          </w:p>
        </w:tc>
        <w:tc>
          <w:tcPr>
            <w:tcW w:w="2552" w:type="dxa"/>
            <w:tcBorders>
              <w:top w:val="nil"/>
              <w:left w:val="nil"/>
              <w:bottom w:val="nil"/>
              <w:right w:val="nil"/>
            </w:tcBorders>
            <w:hideMark/>
          </w:tcPr>
          <w:p w14:paraId="46BF5974"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2 313 932,90 </w:t>
            </w:r>
          </w:p>
        </w:tc>
      </w:tr>
      <w:tr w:rsidR="00814E58" w:rsidRPr="00084363" w14:paraId="2FB2E4C7" w14:textId="77777777" w:rsidTr="00084363">
        <w:trPr>
          <w:trHeight w:val="145"/>
        </w:trPr>
        <w:tc>
          <w:tcPr>
            <w:tcW w:w="2298" w:type="dxa"/>
            <w:tcBorders>
              <w:top w:val="nil"/>
              <w:left w:val="nil"/>
              <w:bottom w:val="nil"/>
              <w:right w:val="nil"/>
            </w:tcBorders>
            <w:hideMark/>
          </w:tcPr>
          <w:p w14:paraId="27CB16E9"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2020 </w:t>
            </w:r>
          </w:p>
        </w:tc>
        <w:tc>
          <w:tcPr>
            <w:tcW w:w="2299" w:type="dxa"/>
            <w:tcBorders>
              <w:top w:val="nil"/>
              <w:left w:val="nil"/>
              <w:bottom w:val="nil"/>
              <w:right w:val="nil"/>
            </w:tcBorders>
            <w:hideMark/>
          </w:tcPr>
          <w:p w14:paraId="353AC149"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74 802,00 </w:t>
            </w:r>
          </w:p>
        </w:tc>
        <w:tc>
          <w:tcPr>
            <w:tcW w:w="2298" w:type="dxa"/>
            <w:tcBorders>
              <w:top w:val="nil"/>
              <w:left w:val="nil"/>
              <w:bottom w:val="nil"/>
              <w:right w:val="nil"/>
            </w:tcBorders>
            <w:hideMark/>
          </w:tcPr>
          <w:p w14:paraId="2A15E2CA"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117 733,00 </w:t>
            </w:r>
          </w:p>
        </w:tc>
        <w:tc>
          <w:tcPr>
            <w:tcW w:w="2552" w:type="dxa"/>
            <w:tcBorders>
              <w:top w:val="nil"/>
              <w:left w:val="nil"/>
              <w:bottom w:val="nil"/>
              <w:right w:val="nil"/>
            </w:tcBorders>
            <w:hideMark/>
          </w:tcPr>
          <w:p w14:paraId="24AA2DFC"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2 239 130,90 </w:t>
            </w:r>
          </w:p>
        </w:tc>
      </w:tr>
      <w:tr w:rsidR="00814E58" w:rsidRPr="00084363" w14:paraId="73F50B4B" w14:textId="77777777" w:rsidTr="00084363">
        <w:trPr>
          <w:trHeight w:val="145"/>
        </w:trPr>
        <w:tc>
          <w:tcPr>
            <w:tcW w:w="2298" w:type="dxa"/>
            <w:tcBorders>
              <w:top w:val="nil"/>
              <w:left w:val="nil"/>
              <w:bottom w:val="nil"/>
              <w:right w:val="nil"/>
            </w:tcBorders>
            <w:hideMark/>
          </w:tcPr>
          <w:p w14:paraId="7CFF8406"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2021 </w:t>
            </w:r>
          </w:p>
        </w:tc>
        <w:tc>
          <w:tcPr>
            <w:tcW w:w="2299" w:type="dxa"/>
            <w:tcBorders>
              <w:top w:val="nil"/>
              <w:left w:val="nil"/>
              <w:bottom w:val="nil"/>
              <w:right w:val="nil"/>
            </w:tcBorders>
            <w:hideMark/>
          </w:tcPr>
          <w:p w14:paraId="7178E34C"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68 106,00 </w:t>
            </w:r>
          </w:p>
        </w:tc>
        <w:tc>
          <w:tcPr>
            <w:tcW w:w="2298" w:type="dxa"/>
            <w:tcBorders>
              <w:top w:val="nil"/>
              <w:left w:val="nil"/>
              <w:bottom w:val="nil"/>
              <w:right w:val="nil"/>
            </w:tcBorders>
            <w:hideMark/>
          </w:tcPr>
          <w:p w14:paraId="45B4C409"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185 839,00 </w:t>
            </w:r>
          </w:p>
        </w:tc>
        <w:tc>
          <w:tcPr>
            <w:tcW w:w="2552" w:type="dxa"/>
            <w:tcBorders>
              <w:top w:val="nil"/>
              <w:left w:val="nil"/>
              <w:bottom w:val="nil"/>
              <w:right w:val="nil"/>
            </w:tcBorders>
            <w:hideMark/>
          </w:tcPr>
          <w:p w14:paraId="42D156A0"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2 171 024,90 </w:t>
            </w:r>
          </w:p>
        </w:tc>
      </w:tr>
      <w:tr w:rsidR="00814E58" w:rsidRPr="00084363" w14:paraId="75100833" w14:textId="77777777" w:rsidTr="00084363">
        <w:trPr>
          <w:trHeight w:val="145"/>
        </w:trPr>
        <w:tc>
          <w:tcPr>
            <w:tcW w:w="2298" w:type="dxa"/>
            <w:tcBorders>
              <w:top w:val="nil"/>
              <w:left w:val="nil"/>
              <w:bottom w:val="nil"/>
              <w:right w:val="nil"/>
            </w:tcBorders>
            <w:hideMark/>
          </w:tcPr>
          <w:p w14:paraId="1ABF2DEA"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2022 </w:t>
            </w:r>
          </w:p>
        </w:tc>
        <w:tc>
          <w:tcPr>
            <w:tcW w:w="2299" w:type="dxa"/>
            <w:tcBorders>
              <w:top w:val="nil"/>
              <w:left w:val="nil"/>
              <w:bottom w:val="nil"/>
              <w:right w:val="nil"/>
            </w:tcBorders>
            <w:hideMark/>
          </w:tcPr>
          <w:p w14:paraId="3351329D"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72 050,00 </w:t>
            </w:r>
          </w:p>
        </w:tc>
        <w:tc>
          <w:tcPr>
            <w:tcW w:w="2298" w:type="dxa"/>
            <w:tcBorders>
              <w:top w:val="nil"/>
              <w:left w:val="nil"/>
              <w:bottom w:val="nil"/>
              <w:right w:val="nil"/>
            </w:tcBorders>
            <w:hideMark/>
          </w:tcPr>
          <w:p w14:paraId="4D0F8B40"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257 889,00 </w:t>
            </w:r>
          </w:p>
        </w:tc>
        <w:tc>
          <w:tcPr>
            <w:tcW w:w="2552" w:type="dxa"/>
            <w:tcBorders>
              <w:top w:val="nil"/>
              <w:left w:val="nil"/>
              <w:bottom w:val="nil"/>
              <w:right w:val="nil"/>
            </w:tcBorders>
            <w:hideMark/>
          </w:tcPr>
          <w:p w14:paraId="685DE466"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2 098 974,90 </w:t>
            </w:r>
          </w:p>
        </w:tc>
      </w:tr>
      <w:tr w:rsidR="00814E58" w:rsidRPr="00084363" w14:paraId="461EDAE5" w14:textId="77777777" w:rsidTr="00084363">
        <w:trPr>
          <w:trHeight w:val="145"/>
        </w:trPr>
        <w:tc>
          <w:tcPr>
            <w:tcW w:w="2298" w:type="dxa"/>
            <w:tcBorders>
              <w:top w:val="nil"/>
              <w:left w:val="nil"/>
              <w:bottom w:val="nil"/>
              <w:right w:val="nil"/>
            </w:tcBorders>
            <w:hideMark/>
          </w:tcPr>
          <w:p w14:paraId="031782FE"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2023 </w:t>
            </w:r>
          </w:p>
        </w:tc>
        <w:tc>
          <w:tcPr>
            <w:tcW w:w="2299" w:type="dxa"/>
            <w:tcBorders>
              <w:top w:val="nil"/>
              <w:left w:val="nil"/>
              <w:bottom w:val="nil"/>
              <w:right w:val="nil"/>
            </w:tcBorders>
            <w:hideMark/>
          </w:tcPr>
          <w:p w14:paraId="3809047E"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59 702,00 </w:t>
            </w:r>
          </w:p>
        </w:tc>
        <w:tc>
          <w:tcPr>
            <w:tcW w:w="2298" w:type="dxa"/>
            <w:tcBorders>
              <w:top w:val="nil"/>
              <w:left w:val="nil"/>
              <w:bottom w:val="nil"/>
              <w:right w:val="nil"/>
            </w:tcBorders>
            <w:hideMark/>
          </w:tcPr>
          <w:p w14:paraId="4CFE34C9"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317 591,00 </w:t>
            </w:r>
          </w:p>
        </w:tc>
        <w:tc>
          <w:tcPr>
            <w:tcW w:w="2552" w:type="dxa"/>
            <w:tcBorders>
              <w:top w:val="nil"/>
              <w:left w:val="nil"/>
              <w:bottom w:val="nil"/>
              <w:right w:val="nil"/>
            </w:tcBorders>
            <w:hideMark/>
          </w:tcPr>
          <w:p w14:paraId="4F3BD9C9"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2 039 272,90 </w:t>
            </w:r>
          </w:p>
        </w:tc>
      </w:tr>
      <w:tr w:rsidR="00814E58" w:rsidRPr="00084363" w14:paraId="641D5336" w14:textId="77777777" w:rsidTr="00084363">
        <w:trPr>
          <w:trHeight w:val="145"/>
        </w:trPr>
        <w:tc>
          <w:tcPr>
            <w:tcW w:w="2298" w:type="dxa"/>
            <w:tcBorders>
              <w:top w:val="nil"/>
              <w:left w:val="nil"/>
              <w:bottom w:val="nil"/>
              <w:right w:val="nil"/>
            </w:tcBorders>
            <w:hideMark/>
          </w:tcPr>
          <w:p w14:paraId="28C06C18"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2024 </w:t>
            </w:r>
          </w:p>
        </w:tc>
        <w:tc>
          <w:tcPr>
            <w:tcW w:w="2299" w:type="dxa"/>
            <w:tcBorders>
              <w:top w:val="nil"/>
              <w:left w:val="nil"/>
              <w:bottom w:val="nil"/>
              <w:right w:val="nil"/>
            </w:tcBorders>
            <w:hideMark/>
          </w:tcPr>
          <w:p w14:paraId="78FF9395"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5 131,00 </w:t>
            </w:r>
          </w:p>
        </w:tc>
        <w:tc>
          <w:tcPr>
            <w:tcW w:w="2298" w:type="dxa"/>
            <w:tcBorders>
              <w:top w:val="nil"/>
              <w:left w:val="nil"/>
              <w:bottom w:val="nil"/>
              <w:right w:val="nil"/>
            </w:tcBorders>
            <w:hideMark/>
          </w:tcPr>
          <w:p w14:paraId="7FCDA42D"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322 722,00 </w:t>
            </w:r>
          </w:p>
        </w:tc>
        <w:tc>
          <w:tcPr>
            <w:tcW w:w="2552" w:type="dxa"/>
            <w:tcBorders>
              <w:top w:val="nil"/>
              <w:left w:val="nil"/>
              <w:bottom w:val="nil"/>
              <w:right w:val="nil"/>
            </w:tcBorders>
            <w:hideMark/>
          </w:tcPr>
          <w:p w14:paraId="0F2045AA"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 xml:space="preserve">2 034 141,90 </w:t>
            </w:r>
          </w:p>
        </w:tc>
      </w:tr>
    </w:tbl>
    <w:p w14:paraId="540E3142" w14:textId="77777777" w:rsidR="00814E58" w:rsidRPr="00084363" w:rsidRDefault="00814E58" w:rsidP="00084363">
      <w:pPr>
        <w:contextualSpacing/>
        <w:jc w:val="both"/>
        <w:rPr>
          <w:rFonts w:ascii="Arial" w:hAnsi="Arial" w:cs="Arial"/>
          <w:sz w:val="20"/>
          <w:szCs w:val="28"/>
        </w:rPr>
      </w:pPr>
    </w:p>
    <w:p w14:paraId="3F84875F" w14:textId="77777777" w:rsidR="00814E58" w:rsidRPr="00084363" w:rsidRDefault="00814E58" w:rsidP="00084363">
      <w:pPr>
        <w:contextualSpacing/>
        <w:jc w:val="both"/>
        <w:rPr>
          <w:rFonts w:ascii="Arial" w:hAnsi="Arial" w:cs="Arial"/>
          <w:sz w:val="20"/>
          <w:szCs w:val="28"/>
        </w:rPr>
      </w:pPr>
      <w:r w:rsidRPr="00084363">
        <w:rPr>
          <w:rFonts w:ascii="Arial" w:hAnsi="Arial" w:cs="Arial"/>
          <w:sz w:val="20"/>
          <w:szCs w:val="28"/>
        </w:rPr>
        <w:t>Dne 11. 4. 2024 bylo Domovu pro seniory Horní Stropnice doručeno usnesení Exekutorského úřadu Tábor č.j. 017 EX 757/16-86 o zastavení exekuce z důvodu úmrtí p. Magdy Johnové. Celkem bylo tedy splaceno 322.722,00 Kč a zbývající pohledávka je ve výši 2.034.141,90 Kč.</w:t>
      </w:r>
    </w:p>
    <w:p w14:paraId="5A4A0B8C" w14:textId="77777777" w:rsidR="00814E58" w:rsidRPr="00084363" w:rsidRDefault="00814E58" w:rsidP="00084363">
      <w:pPr>
        <w:spacing w:before="120"/>
        <w:jc w:val="both"/>
        <w:rPr>
          <w:rFonts w:ascii="Arial" w:hAnsi="Arial"/>
          <w:sz w:val="20"/>
          <w:szCs w:val="28"/>
        </w:rPr>
      </w:pPr>
      <w:r w:rsidRPr="00084363">
        <w:rPr>
          <w:rFonts w:ascii="Arial" w:hAnsi="Arial" w:cs="Arial"/>
          <w:sz w:val="20"/>
          <w:szCs w:val="20"/>
        </w:rPr>
        <w:t>Nedobytná pohledávka je v účetní evidenci pohledávek a organizace využila všechny možné kroky pro její vymožení. Jedná se tedy o prokazatelně nedobytnou pohledávku. OSOV doporučuje pohledávku odepsat (vyřadit), a tak zobjektivizovat skutečnou hodnotu pohledávek v účetnictví organizace.</w:t>
      </w:r>
    </w:p>
    <w:p w14:paraId="65A9D100" w14:textId="77777777" w:rsidR="00814E58" w:rsidRDefault="00814E58" w:rsidP="00FE0EE2">
      <w:pPr>
        <w:pStyle w:val="KUJKnormal"/>
      </w:pPr>
    </w:p>
    <w:p w14:paraId="3EC3D05B" w14:textId="77777777" w:rsidR="00814E58" w:rsidRDefault="00814E58" w:rsidP="00084363">
      <w:pPr>
        <w:pStyle w:val="KUJKnormal"/>
      </w:pPr>
    </w:p>
    <w:p w14:paraId="791D075A" w14:textId="77777777" w:rsidR="00814E58" w:rsidRDefault="00814E58" w:rsidP="00084363">
      <w:pPr>
        <w:pStyle w:val="KUJKnormal"/>
      </w:pPr>
      <w:r>
        <w:t>Finanční nároky a krytí: Případné dofinancování zvýšených provozních nákladů organizace způsobených odpisem nedobytné pohledávky bude řešeno v rámci vyhodnocení vývoje hospodaření organizace ve 3. – 4. čtvrtletí 2024.</w:t>
      </w:r>
    </w:p>
    <w:p w14:paraId="69AFEECB" w14:textId="77777777" w:rsidR="00814E58" w:rsidRDefault="00814E58" w:rsidP="00BF2C1D">
      <w:pPr>
        <w:pStyle w:val="KUJKnormal"/>
      </w:pPr>
    </w:p>
    <w:p w14:paraId="1D68DF8E" w14:textId="77777777" w:rsidR="00814E58" w:rsidRDefault="00814E58" w:rsidP="00BF2C1D">
      <w:pPr>
        <w:pStyle w:val="KUJKnormal"/>
      </w:pPr>
      <w:r>
        <w:t>Vyjádření správce rozpočtu: Nebylo vyžádáno.</w:t>
      </w:r>
    </w:p>
    <w:p w14:paraId="5B54FD16" w14:textId="77777777" w:rsidR="00814E58" w:rsidRDefault="00814E58" w:rsidP="00BF2C1D">
      <w:pPr>
        <w:pStyle w:val="KUJKnormal"/>
      </w:pPr>
    </w:p>
    <w:p w14:paraId="667E1F2A" w14:textId="77777777" w:rsidR="00814E58" w:rsidRDefault="00814E58" w:rsidP="00BF2C1D">
      <w:pPr>
        <w:pStyle w:val="KUJKnormal"/>
      </w:pPr>
      <w:r>
        <w:t>Návrh projednán (stanoviska):</w:t>
      </w:r>
    </w:p>
    <w:p w14:paraId="0F7E76DC" w14:textId="77777777" w:rsidR="00814E58" w:rsidRPr="00AE15B4" w:rsidRDefault="00814E58" w:rsidP="006A317D">
      <w:pPr>
        <w:pStyle w:val="KUJKnormal"/>
      </w:pPr>
      <w:r>
        <w:t xml:space="preserve">Mgr. Ing. Alexandra Kindlová (OSOV): Souhlasím - </w:t>
      </w:r>
    </w:p>
    <w:p w14:paraId="01A29F48" w14:textId="77777777" w:rsidR="00814E58" w:rsidRDefault="00814E58" w:rsidP="00BF2C1D">
      <w:pPr>
        <w:pStyle w:val="KUJKnormal"/>
      </w:pPr>
    </w:p>
    <w:p w14:paraId="56C539F6" w14:textId="77777777" w:rsidR="00814E58" w:rsidRDefault="00814E58" w:rsidP="00BF2C1D">
      <w:pPr>
        <w:pStyle w:val="KUJKnormal"/>
      </w:pPr>
    </w:p>
    <w:p w14:paraId="674D8408" w14:textId="77777777" w:rsidR="00814E58" w:rsidRPr="007939A8" w:rsidRDefault="00814E58" w:rsidP="00BF2C1D">
      <w:pPr>
        <w:pStyle w:val="KUJKtucny"/>
      </w:pPr>
      <w:r w:rsidRPr="007939A8">
        <w:t>PŘÍLOHY:</w:t>
      </w:r>
      <w:r>
        <w:t xml:space="preserve"> Bez příloh.</w:t>
      </w:r>
    </w:p>
    <w:p w14:paraId="23CF2144" w14:textId="77777777" w:rsidR="00814E58" w:rsidRDefault="00814E58" w:rsidP="00BF2C1D">
      <w:pPr>
        <w:pStyle w:val="KUJKnormal"/>
      </w:pPr>
    </w:p>
    <w:p w14:paraId="5C3BF8EE" w14:textId="77777777" w:rsidR="00814E58" w:rsidRDefault="00814E58" w:rsidP="00BF2C1D">
      <w:pPr>
        <w:pStyle w:val="KUJKnormal"/>
      </w:pPr>
    </w:p>
    <w:p w14:paraId="03C9AA64" w14:textId="77777777" w:rsidR="00814E58" w:rsidRPr="007C1EE7" w:rsidRDefault="00814E58" w:rsidP="00BF2C1D">
      <w:pPr>
        <w:pStyle w:val="KUJKtucny"/>
      </w:pPr>
      <w:r w:rsidRPr="007C1EE7">
        <w:t>Zodpovídá:</w:t>
      </w:r>
      <w:r>
        <w:t xml:space="preserve"> vedoucí OSOV – Mgr. Pavla Doubková</w:t>
      </w:r>
    </w:p>
    <w:p w14:paraId="6A9A6F54" w14:textId="77777777" w:rsidR="00814E58" w:rsidRDefault="00814E58" w:rsidP="00BF2C1D">
      <w:pPr>
        <w:pStyle w:val="KUJKnormal"/>
      </w:pPr>
    </w:p>
    <w:p w14:paraId="41ADE1C7" w14:textId="77777777" w:rsidR="00814E58" w:rsidRDefault="00814E58" w:rsidP="00BF2C1D">
      <w:pPr>
        <w:pStyle w:val="KUJKnormal"/>
      </w:pPr>
      <w:r>
        <w:t>Termín kontroly: 30. 9. 2024</w:t>
      </w:r>
    </w:p>
    <w:p w14:paraId="46BB5739" w14:textId="77777777" w:rsidR="00814E58" w:rsidRDefault="00814E58" w:rsidP="00BF2C1D">
      <w:pPr>
        <w:pStyle w:val="KUJKnormal"/>
      </w:pPr>
      <w:r>
        <w:t>Termín splnění: 30. 9. 2024</w:t>
      </w:r>
    </w:p>
    <w:p w14:paraId="1C0E0DEF" w14:textId="77777777" w:rsidR="00814E58" w:rsidRDefault="00814E5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6E01" w14:textId="77777777" w:rsidR="00814E58" w:rsidRDefault="00814E58" w:rsidP="00814E58">
    <w:r>
      <w:rPr>
        <w:noProof/>
      </w:rPr>
      <w:pict w14:anchorId="2A0FB9B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6434933" w14:textId="77777777" w:rsidR="00814E58" w:rsidRPr="005F485E" w:rsidRDefault="00814E58" w:rsidP="00814E58">
                <w:pPr>
                  <w:spacing w:after="60"/>
                  <w:rPr>
                    <w:rFonts w:ascii="Arial" w:hAnsi="Arial" w:cs="Arial"/>
                    <w:b/>
                    <w:sz w:val="22"/>
                  </w:rPr>
                </w:pPr>
                <w:r w:rsidRPr="005F485E">
                  <w:rPr>
                    <w:rFonts w:ascii="Arial" w:hAnsi="Arial" w:cs="Arial"/>
                    <w:b/>
                    <w:sz w:val="22"/>
                  </w:rPr>
                  <w:t>ZASTUPITELSTVO JIHOČESKÉHO KRAJE</w:t>
                </w:r>
              </w:p>
              <w:p w14:paraId="7E5BEEAF" w14:textId="77777777" w:rsidR="00814E58" w:rsidRPr="005F485E" w:rsidRDefault="00814E58" w:rsidP="00814E5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853A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0D40437" w14:textId="77777777" w:rsidR="00814E58" w:rsidRDefault="00814E58" w:rsidP="00814E58">
    <w:r>
      <w:pict w14:anchorId="7CBAD326">
        <v:rect id="_x0000_i1026" style="width:481.9pt;height:2pt" o:hralign="center" o:hrstd="t" o:hrnoshade="t" o:hr="t" fillcolor="black" stroked="f"/>
      </w:pict>
    </w:r>
  </w:p>
  <w:p w14:paraId="4382B4F8" w14:textId="77777777" w:rsidR="00814E58" w:rsidRPr="00814E58" w:rsidRDefault="00814E58" w:rsidP="00814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1732542">
    <w:abstractNumId w:val="1"/>
  </w:num>
  <w:num w:numId="2" w16cid:durableId="1888640112">
    <w:abstractNumId w:val="2"/>
  </w:num>
  <w:num w:numId="3" w16cid:durableId="525827179">
    <w:abstractNumId w:val="9"/>
  </w:num>
  <w:num w:numId="4" w16cid:durableId="56053461">
    <w:abstractNumId w:val="7"/>
  </w:num>
  <w:num w:numId="5" w16cid:durableId="400719357">
    <w:abstractNumId w:val="0"/>
  </w:num>
  <w:num w:numId="6" w16cid:durableId="1760061146">
    <w:abstractNumId w:val="3"/>
  </w:num>
  <w:num w:numId="7" w16cid:durableId="849567523">
    <w:abstractNumId w:val="6"/>
  </w:num>
  <w:num w:numId="8" w16cid:durableId="5911802">
    <w:abstractNumId w:val="4"/>
  </w:num>
  <w:num w:numId="9" w16cid:durableId="1112475409">
    <w:abstractNumId w:val="5"/>
  </w:num>
  <w:num w:numId="10" w16cid:durableId="287930827">
    <w:abstractNumId w:val="8"/>
  </w:num>
  <w:num w:numId="11" w16cid:durableId="1159882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BF1"/>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4E58"/>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6A8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3883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2024-06-21T11:48:00Z</dcterms:created>
  <dcterms:modified xsi:type="dcterms:W3CDTF">2024-06-21T11:48:00Z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6588797</vt:i4>
  </property>
  <property fmtid="{D5CDD505-2E9C-101B-9397-08002B2CF9AE}" pid="5" name="UlozitJako">
    <vt:lpwstr>C:\Users\mrazkova\AppData\Local\Temp\iU47964112\Zastupitelstvo\2024-06-20\Navrhy\258-ZK-24.</vt:lpwstr>
  </property>
  <property fmtid="{D5CDD505-2E9C-101B-9397-08002B2CF9AE}" pid="6" name="Zpracovat">
    <vt:bool>false</vt:bool>
  </property>
</Properties>
</file>