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47E58" w14:paraId="7D08DA25" w14:textId="77777777" w:rsidTr="00970720">
        <w:trPr>
          <w:trHeight w:hRule="exact" w:val="397"/>
        </w:trPr>
        <w:tc>
          <w:tcPr>
            <w:tcW w:w="2376" w:type="dxa"/>
            <w:hideMark/>
          </w:tcPr>
          <w:p w14:paraId="5DCD7A8D" w14:textId="77777777" w:rsidR="00847E58" w:rsidRDefault="00847E58" w:rsidP="00970720">
            <w:pPr>
              <w:pStyle w:val="KUJKtucny"/>
            </w:pPr>
            <w:r>
              <w:t>Datum jednání:</w:t>
            </w:r>
          </w:p>
        </w:tc>
        <w:tc>
          <w:tcPr>
            <w:tcW w:w="3828" w:type="dxa"/>
            <w:hideMark/>
          </w:tcPr>
          <w:p w14:paraId="2EE363B1" w14:textId="77777777" w:rsidR="00847E58" w:rsidRDefault="00847E58" w:rsidP="00970720">
            <w:pPr>
              <w:pStyle w:val="KUJKnormal"/>
            </w:pPr>
            <w:r>
              <w:t>20. 06. 2024</w:t>
            </w:r>
          </w:p>
        </w:tc>
        <w:tc>
          <w:tcPr>
            <w:tcW w:w="2126" w:type="dxa"/>
            <w:hideMark/>
          </w:tcPr>
          <w:p w14:paraId="6474496D" w14:textId="77777777" w:rsidR="00847E58" w:rsidRDefault="00847E58" w:rsidP="00970720">
            <w:pPr>
              <w:pStyle w:val="KUJKtucny"/>
            </w:pPr>
            <w:r>
              <w:t xml:space="preserve">Bod programu: </w:t>
            </w:r>
            <w:r w:rsidRPr="002A3E47">
              <w:rPr>
                <w:sz w:val="32"/>
                <w:szCs w:val="32"/>
              </w:rPr>
              <w:t>15</w:t>
            </w:r>
          </w:p>
        </w:tc>
        <w:tc>
          <w:tcPr>
            <w:tcW w:w="850" w:type="dxa"/>
          </w:tcPr>
          <w:p w14:paraId="5C31C96A" w14:textId="77777777" w:rsidR="00847E58" w:rsidRDefault="00847E58" w:rsidP="00970720">
            <w:pPr>
              <w:pStyle w:val="KUJKnormal"/>
            </w:pPr>
          </w:p>
        </w:tc>
      </w:tr>
      <w:tr w:rsidR="00847E58" w14:paraId="6A701D53" w14:textId="77777777" w:rsidTr="00970720">
        <w:trPr>
          <w:cantSplit/>
          <w:trHeight w:hRule="exact" w:val="397"/>
        </w:trPr>
        <w:tc>
          <w:tcPr>
            <w:tcW w:w="2376" w:type="dxa"/>
            <w:hideMark/>
          </w:tcPr>
          <w:p w14:paraId="57A5BA32" w14:textId="77777777" w:rsidR="00847E58" w:rsidRDefault="00847E58" w:rsidP="00970720">
            <w:pPr>
              <w:pStyle w:val="KUJKtucny"/>
            </w:pPr>
            <w:r>
              <w:t>Číslo návrhu:</w:t>
            </w:r>
          </w:p>
        </w:tc>
        <w:tc>
          <w:tcPr>
            <w:tcW w:w="6804" w:type="dxa"/>
            <w:gridSpan w:val="3"/>
            <w:hideMark/>
          </w:tcPr>
          <w:p w14:paraId="0BE4FAA4" w14:textId="77777777" w:rsidR="00847E58" w:rsidRDefault="00847E58" w:rsidP="00970720">
            <w:pPr>
              <w:pStyle w:val="KUJKnormal"/>
            </w:pPr>
            <w:r>
              <w:t>156/ZK/24</w:t>
            </w:r>
          </w:p>
        </w:tc>
      </w:tr>
      <w:tr w:rsidR="00847E58" w14:paraId="6DD254A1" w14:textId="77777777" w:rsidTr="00970720">
        <w:trPr>
          <w:trHeight w:val="397"/>
        </w:trPr>
        <w:tc>
          <w:tcPr>
            <w:tcW w:w="2376" w:type="dxa"/>
          </w:tcPr>
          <w:p w14:paraId="6A21D862" w14:textId="77777777" w:rsidR="00847E58" w:rsidRDefault="00847E58" w:rsidP="00970720"/>
          <w:p w14:paraId="2F7722A3" w14:textId="77777777" w:rsidR="00847E58" w:rsidRDefault="00847E58" w:rsidP="00970720">
            <w:pPr>
              <w:pStyle w:val="KUJKtucny"/>
            </w:pPr>
            <w:r>
              <w:t>Název bodu:</w:t>
            </w:r>
          </w:p>
        </w:tc>
        <w:tc>
          <w:tcPr>
            <w:tcW w:w="6804" w:type="dxa"/>
            <w:gridSpan w:val="3"/>
          </w:tcPr>
          <w:p w14:paraId="0878846F" w14:textId="77777777" w:rsidR="00847E58" w:rsidRDefault="00847E58" w:rsidP="00970720"/>
          <w:p w14:paraId="127D592A" w14:textId="77777777" w:rsidR="00847E58" w:rsidRDefault="00847E58" w:rsidP="00970720">
            <w:pPr>
              <w:pStyle w:val="KUJKtucny"/>
              <w:rPr>
                <w:sz w:val="22"/>
                <w:szCs w:val="22"/>
              </w:rPr>
            </w:pPr>
            <w:r>
              <w:rPr>
                <w:sz w:val="22"/>
                <w:szCs w:val="22"/>
              </w:rPr>
              <w:t>Návrh „Adaptační strategie Jihočeského kraje na změnu klimatu 2024–2034“</w:t>
            </w:r>
          </w:p>
        </w:tc>
      </w:tr>
    </w:tbl>
    <w:p w14:paraId="3905A36B" w14:textId="77777777" w:rsidR="00847E58" w:rsidRDefault="00847E58" w:rsidP="00CA4DA6">
      <w:pPr>
        <w:pStyle w:val="KUJKnormal"/>
        <w:rPr>
          <w:b/>
          <w:bCs/>
        </w:rPr>
      </w:pPr>
      <w:r>
        <w:rPr>
          <w:b/>
          <w:bCs/>
        </w:rPr>
        <w:pict w14:anchorId="6362BBDA">
          <v:rect id="_x0000_i1029" style="width:453.6pt;height:1.5pt" o:hralign="center" o:hrstd="t" o:hrnoshade="t" o:hr="t" fillcolor="black" stroked="f"/>
        </w:pict>
      </w:r>
    </w:p>
    <w:p w14:paraId="285B0E53" w14:textId="77777777" w:rsidR="00847E58" w:rsidRDefault="00847E58" w:rsidP="00CA4DA6">
      <w:pPr>
        <w:pStyle w:val="KUJKnormal"/>
      </w:pPr>
    </w:p>
    <w:p w14:paraId="48414072" w14:textId="77777777" w:rsidR="00847E58" w:rsidRDefault="00847E58" w:rsidP="002559B8"/>
    <w:tbl>
      <w:tblPr>
        <w:tblW w:w="0" w:type="auto"/>
        <w:tblCellMar>
          <w:left w:w="70" w:type="dxa"/>
          <w:right w:w="70" w:type="dxa"/>
        </w:tblCellMar>
        <w:tblLook w:val="04A0" w:firstRow="1" w:lastRow="0" w:firstColumn="1" w:lastColumn="0" w:noHBand="0" w:noVBand="1"/>
      </w:tblPr>
      <w:tblGrid>
        <w:gridCol w:w="2350"/>
        <w:gridCol w:w="6862"/>
      </w:tblGrid>
      <w:tr w:rsidR="00847E58" w14:paraId="5390B0B8" w14:textId="77777777" w:rsidTr="002559B8">
        <w:trPr>
          <w:trHeight w:val="397"/>
        </w:trPr>
        <w:tc>
          <w:tcPr>
            <w:tcW w:w="2350" w:type="dxa"/>
            <w:hideMark/>
          </w:tcPr>
          <w:p w14:paraId="0A523B65" w14:textId="77777777" w:rsidR="00847E58" w:rsidRDefault="00847E58" w:rsidP="002559B8">
            <w:pPr>
              <w:pStyle w:val="KUJKtucny"/>
            </w:pPr>
            <w:r>
              <w:t>Předkladatel:</w:t>
            </w:r>
          </w:p>
        </w:tc>
        <w:tc>
          <w:tcPr>
            <w:tcW w:w="6862" w:type="dxa"/>
          </w:tcPr>
          <w:p w14:paraId="0FBD4D56" w14:textId="77777777" w:rsidR="00847E58" w:rsidRDefault="00847E58" w:rsidP="002559B8">
            <w:pPr>
              <w:pStyle w:val="KUJKnormal"/>
            </w:pPr>
            <w:r>
              <w:t>Mgr. František Talíř</w:t>
            </w:r>
          </w:p>
          <w:p w14:paraId="6C4CA632" w14:textId="77777777" w:rsidR="00847E58" w:rsidRDefault="00847E58" w:rsidP="002559B8"/>
        </w:tc>
      </w:tr>
      <w:tr w:rsidR="00847E58" w14:paraId="1F4CEA6E" w14:textId="77777777" w:rsidTr="002559B8">
        <w:trPr>
          <w:trHeight w:val="397"/>
        </w:trPr>
        <w:tc>
          <w:tcPr>
            <w:tcW w:w="2350" w:type="dxa"/>
          </w:tcPr>
          <w:p w14:paraId="70D853B0" w14:textId="77777777" w:rsidR="00847E58" w:rsidRDefault="00847E58" w:rsidP="002559B8">
            <w:pPr>
              <w:pStyle w:val="KUJKtucny"/>
            </w:pPr>
            <w:r>
              <w:t>Zpracoval:</w:t>
            </w:r>
          </w:p>
          <w:p w14:paraId="360F86C4" w14:textId="77777777" w:rsidR="00847E58" w:rsidRDefault="00847E58" w:rsidP="002559B8"/>
        </w:tc>
        <w:tc>
          <w:tcPr>
            <w:tcW w:w="6862" w:type="dxa"/>
            <w:hideMark/>
          </w:tcPr>
          <w:p w14:paraId="0CB1E28D" w14:textId="77777777" w:rsidR="00847E58" w:rsidRDefault="00847E58" w:rsidP="002559B8">
            <w:pPr>
              <w:pStyle w:val="KUJKnormal"/>
            </w:pPr>
            <w:r>
              <w:t>OZZL</w:t>
            </w:r>
          </w:p>
        </w:tc>
      </w:tr>
      <w:tr w:rsidR="00847E58" w14:paraId="203D3FCE" w14:textId="77777777" w:rsidTr="002559B8">
        <w:trPr>
          <w:trHeight w:val="397"/>
        </w:trPr>
        <w:tc>
          <w:tcPr>
            <w:tcW w:w="2350" w:type="dxa"/>
          </w:tcPr>
          <w:p w14:paraId="64CA4212" w14:textId="77777777" w:rsidR="00847E58" w:rsidRPr="009715F9" w:rsidRDefault="00847E58" w:rsidP="002559B8">
            <w:pPr>
              <w:pStyle w:val="KUJKnormal"/>
              <w:rPr>
                <w:b/>
              </w:rPr>
            </w:pPr>
            <w:r w:rsidRPr="009715F9">
              <w:rPr>
                <w:b/>
              </w:rPr>
              <w:t>Vedoucí odboru:</w:t>
            </w:r>
          </w:p>
          <w:p w14:paraId="3E558AA6" w14:textId="77777777" w:rsidR="00847E58" w:rsidRDefault="00847E58" w:rsidP="002559B8"/>
        </w:tc>
        <w:tc>
          <w:tcPr>
            <w:tcW w:w="6862" w:type="dxa"/>
            <w:hideMark/>
          </w:tcPr>
          <w:p w14:paraId="72B4E189" w14:textId="77777777" w:rsidR="00847E58" w:rsidRDefault="00847E58" w:rsidP="002559B8">
            <w:pPr>
              <w:pStyle w:val="KUJKnormal"/>
            </w:pPr>
            <w:r>
              <w:t>Ing. Zdeněk Klimeš</w:t>
            </w:r>
          </w:p>
        </w:tc>
      </w:tr>
    </w:tbl>
    <w:p w14:paraId="68C57F33" w14:textId="77777777" w:rsidR="00847E58" w:rsidRDefault="00847E58"/>
    <w:p w14:paraId="7BADBEA9" w14:textId="77777777" w:rsidR="00847E58" w:rsidRDefault="00847E58" w:rsidP="00EF17F2">
      <w:pPr>
        <w:pStyle w:val="KUJKnormal"/>
      </w:pPr>
    </w:p>
    <w:p w14:paraId="53785241" w14:textId="77777777" w:rsidR="00847E58" w:rsidRPr="0052161F" w:rsidRDefault="00847E58" w:rsidP="00EF17F2">
      <w:pPr>
        <w:pStyle w:val="KUJKtucny"/>
      </w:pPr>
      <w:r w:rsidRPr="0052161F">
        <w:t>NÁVRH USNESENÍ</w:t>
      </w:r>
    </w:p>
    <w:p w14:paraId="49F86101" w14:textId="77777777" w:rsidR="00847E58" w:rsidRDefault="00847E58" w:rsidP="00EF17F2">
      <w:pPr>
        <w:pStyle w:val="KUJKnormal"/>
        <w:rPr>
          <w:rFonts w:ascii="Calibri" w:hAnsi="Calibri" w:cs="Calibri"/>
          <w:sz w:val="12"/>
          <w:szCs w:val="12"/>
        </w:rPr>
      </w:pPr>
      <w:bookmarkStart w:id="0" w:name="US_ZaVeVeci"/>
      <w:bookmarkEnd w:id="0"/>
    </w:p>
    <w:p w14:paraId="58AE3196" w14:textId="77777777" w:rsidR="00847E58" w:rsidRPr="00841DFC" w:rsidRDefault="00847E58" w:rsidP="00EF17F2">
      <w:pPr>
        <w:pStyle w:val="KUJKPolozka"/>
      </w:pPr>
      <w:r w:rsidRPr="00841DFC">
        <w:t>Zastupitelstvo Jihočeského kraje</w:t>
      </w:r>
    </w:p>
    <w:p w14:paraId="2DB1399C" w14:textId="77777777" w:rsidR="00847E58" w:rsidRPr="00E10FE7" w:rsidRDefault="00847E58" w:rsidP="0077573C">
      <w:pPr>
        <w:pStyle w:val="KUJKdoplnek2"/>
        <w:numPr>
          <w:ilvl w:val="0"/>
          <w:numId w:val="0"/>
        </w:numPr>
        <w:ind w:left="360" w:hanging="360"/>
      </w:pPr>
      <w:r w:rsidRPr="00AF7BAE">
        <w:t>schvaluje</w:t>
      </w:r>
    </w:p>
    <w:p w14:paraId="02FBE1A7" w14:textId="77777777" w:rsidR="00847E58" w:rsidRDefault="00847E58" w:rsidP="0003652A">
      <w:pPr>
        <w:pStyle w:val="KUJKdoplnek2"/>
        <w:numPr>
          <w:ilvl w:val="0"/>
          <w:numId w:val="0"/>
        </w:numPr>
        <w:ind w:left="360" w:hanging="360"/>
        <w:rPr>
          <w:b w:val="0"/>
          <w:bCs/>
        </w:rPr>
      </w:pPr>
      <w:r w:rsidRPr="0003652A">
        <w:rPr>
          <w:b w:val="0"/>
          <w:bCs/>
        </w:rPr>
        <w:t>Adaptační strategi</w:t>
      </w:r>
      <w:r>
        <w:rPr>
          <w:b w:val="0"/>
          <w:bCs/>
        </w:rPr>
        <w:t>i</w:t>
      </w:r>
      <w:r w:rsidRPr="0003652A">
        <w:rPr>
          <w:b w:val="0"/>
          <w:bCs/>
        </w:rPr>
        <w:t xml:space="preserve"> Jihočeského kraje na změnu klimatu 2024–2034</w:t>
      </w:r>
      <w:r>
        <w:rPr>
          <w:b w:val="0"/>
          <w:bCs/>
        </w:rPr>
        <w:t>.</w:t>
      </w:r>
    </w:p>
    <w:p w14:paraId="140C7E31" w14:textId="77777777" w:rsidR="00847E58" w:rsidRPr="0003652A" w:rsidRDefault="00847E58" w:rsidP="0003652A">
      <w:pPr>
        <w:pStyle w:val="KUJKdoplnek2"/>
        <w:numPr>
          <w:ilvl w:val="0"/>
          <w:numId w:val="0"/>
        </w:numPr>
        <w:ind w:left="360" w:hanging="360"/>
      </w:pPr>
    </w:p>
    <w:p w14:paraId="3E51CBF6" w14:textId="77777777" w:rsidR="00847E58" w:rsidRDefault="00847E58" w:rsidP="0003652A">
      <w:pPr>
        <w:pStyle w:val="KUJKmezeraDZ"/>
      </w:pPr>
      <w:bookmarkStart w:id="1" w:name="US_DuvodZprava"/>
      <w:bookmarkEnd w:id="1"/>
    </w:p>
    <w:p w14:paraId="630A62A6" w14:textId="77777777" w:rsidR="00847E58" w:rsidRDefault="00847E58" w:rsidP="0003652A">
      <w:pPr>
        <w:pStyle w:val="KUJKnadpisDZ"/>
      </w:pPr>
      <w:r>
        <w:t>DŮVODOVÁ ZPRÁVA</w:t>
      </w:r>
    </w:p>
    <w:p w14:paraId="207762AF" w14:textId="77777777" w:rsidR="00847E58" w:rsidRDefault="00847E58" w:rsidP="00DA079F">
      <w:pPr>
        <w:pStyle w:val="KUJKnormal"/>
        <w:spacing w:before="120"/>
        <w:rPr>
          <w:u w:val="single"/>
        </w:rPr>
      </w:pPr>
      <w:r>
        <w:rPr>
          <w:u w:val="single"/>
        </w:rPr>
        <w:t>Legislativní východiska:</w:t>
      </w:r>
    </w:p>
    <w:p w14:paraId="1F118807" w14:textId="77777777" w:rsidR="00847E58" w:rsidRDefault="00847E58" w:rsidP="00DA079F">
      <w:pPr>
        <w:pStyle w:val="KUJKnormal"/>
        <w:spacing w:before="120"/>
      </w:pPr>
      <w:r>
        <w:t xml:space="preserve">Zpracování „Adaptační strategie Jihočeského kraje na změnu klimatu 2024–2034“ (dále jen ASJCK) vyplývá z § 77a zákona č. 114/1992 Sb., o ochraně přírody a krajiny, ve znění pozdějších předpisů (dále již jen ZOPK). </w:t>
      </w:r>
      <w:r>
        <w:rPr>
          <w:i/>
          <w:iCs/>
        </w:rPr>
        <w:t>„Kraje zpracovávají ve spolupráci s ministerstvem prognózy, koncepce a strategie ochrany přírody ve své územní působnosti, nejde-li o národní park nebo chráněnou krajinnou oblast, národní přírodní rezervaci, národní přírodní památku a ochranná pásma těchto zvláště chráněných území anebo o vojenské újezdy“</w:t>
      </w:r>
      <w:r>
        <w:t>.</w:t>
      </w:r>
    </w:p>
    <w:p w14:paraId="7E9C2DB6" w14:textId="77777777" w:rsidR="00847E58" w:rsidRDefault="00847E58" w:rsidP="00DA079F">
      <w:pPr>
        <w:pStyle w:val="KUJKnormal"/>
        <w:spacing w:before="120"/>
        <w:rPr>
          <w:u w:val="single"/>
        </w:rPr>
      </w:pPr>
      <w:r>
        <w:rPr>
          <w:u w:val="single"/>
        </w:rPr>
        <w:t>Výchozí stav:</w:t>
      </w:r>
    </w:p>
    <w:p w14:paraId="48928FA9" w14:textId="77777777" w:rsidR="00847E58" w:rsidRDefault="00847E58" w:rsidP="00DA079F">
      <w:pPr>
        <w:pStyle w:val="KU1vrokovst"/>
        <w:spacing w:after="0"/>
        <w:rPr>
          <w:rFonts w:ascii="Arial" w:hAnsi="Arial" w:cs="Arial"/>
        </w:rPr>
      </w:pPr>
      <w:r>
        <w:rPr>
          <w:rFonts w:ascii="Arial" w:hAnsi="Arial" w:cs="Arial"/>
        </w:rPr>
        <w:t xml:space="preserve">Hlavním cílem Adaptační strategie Jihočeského kraje na změnu klimatu 2024–2034 je potřeba uceleně zhodnotit dopady klimatické změny na území Jihočeského kraje a navrhnout komplexní strategii přizpůsobení se nejen současné, ale i budoucí situaci. ASJCK navazuje a doplňuje další strategické dokumenty kraje jako jsou Zásady územního rozvoje Jihočeského kraje, Plán pro zvládání sucha a nedostatku vody Jihočeského kraje, Územní studie krajiny Jihočeského kraje, Koncepce ochrany přírody a krajiny Jihočeského kraje, Plán rozvoje vodovodů a kanalizací Jihočeského kraje. </w:t>
      </w:r>
    </w:p>
    <w:p w14:paraId="399E19A4" w14:textId="77777777" w:rsidR="00847E58" w:rsidRDefault="00847E58" w:rsidP="00DA079F">
      <w:pPr>
        <w:pStyle w:val="KU1vrokovst"/>
        <w:spacing w:after="0"/>
        <w:rPr>
          <w:rFonts w:ascii="Arial" w:hAnsi="Arial" w:cs="Arial"/>
        </w:rPr>
      </w:pPr>
      <w:r>
        <w:rPr>
          <w:rFonts w:ascii="Arial" w:hAnsi="Arial" w:cs="Arial"/>
        </w:rPr>
        <w:t>Při zpracování jsou zohledněny i další související dokumenty, koncepce a strategie, jakými jsou např. Plány dílčích povodí, Adaptace zemědělství na změnu klimatu, Adaptační strategie Lesů ČR a zejména je do podmínek Jihočeského kraje rozpracována Strategie přizpůsobení se změně klimatu v podmínkách ČR.</w:t>
      </w:r>
    </w:p>
    <w:p w14:paraId="014A7ADB" w14:textId="77777777" w:rsidR="00847E58" w:rsidRDefault="00847E58" w:rsidP="00DA079F">
      <w:pPr>
        <w:pStyle w:val="KU1vrokovst"/>
        <w:spacing w:after="0"/>
        <w:rPr>
          <w:rFonts w:ascii="Arial" w:hAnsi="Arial" w:cs="Arial"/>
        </w:rPr>
      </w:pPr>
      <w:r>
        <w:rPr>
          <w:rFonts w:ascii="Arial" w:hAnsi="Arial" w:cs="Arial"/>
        </w:rPr>
        <w:t>Vzniklá ASJCK navrhuje soubor vhodných adaptačních a mitigační opatření pro území Jihočeského kraje v širším rozsahu se zaměřením na specifika kraje.  Strategie bude částečně sloužit pro kraj a jím zřizované organizace, které budou naplňovat opatření v rámci svých kompetencí. V neposlední řadě bude strategie sloužit jako zdroj inspirace a dobré praxe pro města, obce a další subjekty na území Jihočeského kraje. Tyto subjekty mohou na základě krajské strategie zpracovat dokumenty popisující</w:t>
      </w:r>
      <w:r>
        <w:rPr>
          <w:rFonts w:ascii="Arial" w:hAnsi="Arial" w:cs="Arial"/>
          <w:szCs w:val="28"/>
          <w:lang w:eastAsia="en-US"/>
        </w:rPr>
        <w:t xml:space="preserve"> jejich vlastní přístup v dané problematice, případně mohou přímo naplňovat některá z navržených opatření.</w:t>
      </w:r>
    </w:p>
    <w:p w14:paraId="2157C19B" w14:textId="77777777" w:rsidR="00847E58" w:rsidRDefault="00847E58" w:rsidP="00DA079F">
      <w:pPr>
        <w:pStyle w:val="KUJKnormal"/>
        <w:spacing w:before="120"/>
        <w:rPr>
          <w:rFonts w:cs="Arial"/>
          <w:szCs w:val="20"/>
          <w:u w:val="single"/>
        </w:rPr>
      </w:pPr>
      <w:r>
        <w:rPr>
          <w:rFonts w:cs="Arial"/>
          <w:szCs w:val="20"/>
          <w:u w:val="single"/>
        </w:rPr>
        <w:t>Postup zpracování a aktuální stav:</w:t>
      </w:r>
    </w:p>
    <w:p w14:paraId="3EAB2AEE" w14:textId="77777777" w:rsidR="00847E58" w:rsidRDefault="00847E58" w:rsidP="00DA079F">
      <w:pPr>
        <w:pStyle w:val="KUJKnormal"/>
        <w:spacing w:before="120"/>
        <w:rPr>
          <w:rFonts w:cs="Arial"/>
          <w:szCs w:val="20"/>
        </w:rPr>
      </w:pPr>
      <w:r>
        <w:rPr>
          <w:rFonts w:cs="Arial"/>
          <w:szCs w:val="20"/>
        </w:rPr>
        <w:t>ASJCK je zpracovávána na základě smlouvy o dílo č. SDL/OZZL/023/23, která nabyla účinnosti 12. 5. 2023. Zpracovatelem je RADDIT consulting s.r.o., vedoucí společník sdružení společností „RADDIT-EKOTOXA-NP“. Předpokládané náklady na zpracování ASJCK byly stanoveny na 1,5 mil. Kč včetně DPH, skutečné náklady po výběrovém řízení jsou 898 788 Kč včetně DPH.</w:t>
      </w:r>
    </w:p>
    <w:p w14:paraId="479AC6B6" w14:textId="77777777" w:rsidR="00847E58" w:rsidRDefault="00847E58" w:rsidP="00DA079F">
      <w:pPr>
        <w:pStyle w:val="KUJKnormal"/>
        <w:spacing w:before="120"/>
        <w:rPr>
          <w:rFonts w:cs="Arial"/>
          <w:szCs w:val="20"/>
        </w:rPr>
      </w:pPr>
      <w:r>
        <w:rPr>
          <w:rFonts w:cs="Arial"/>
          <w:szCs w:val="20"/>
        </w:rPr>
        <w:lastRenderedPageBreak/>
        <w:t xml:space="preserve">Obecné představení obsahu, cílů a dopadů strategie proběhlo 25. 5. 2023 a následně probíhala individuální jednání na odborech krajského úřadu, zřizovanými organizacemi a dále jednání s obcemi a zástupci nevládních organizací. </w:t>
      </w:r>
    </w:p>
    <w:p w14:paraId="17C618F9" w14:textId="77777777" w:rsidR="00847E58" w:rsidRDefault="00847E58" w:rsidP="00DA079F">
      <w:pPr>
        <w:pStyle w:val="KUJKnormal"/>
        <w:spacing w:before="120"/>
        <w:rPr>
          <w:rFonts w:cs="Arial"/>
          <w:szCs w:val="20"/>
        </w:rPr>
      </w:pPr>
      <w:r>
        <w:rPr>
          <w:rFonts w:cs="Arial"/>
          <w:szCs w:val="20"/>
        </w:rPr>
        <w:t>Na základě uvedených jednání, námětů a připomínek probíhalo zpracování dle plánu stanoveného smlouvou o dílo. Konečná verze byla prostřednictvím interního systému předložena k vyjádření odborům KÚ. Připomínkování bylo ukončeno 15. 12. 2023.</w:t>
      </w:r>
    </w:p>
    <w:p w14:paraId="25B8CEAB" w14:textId="77777777" w:rsidR="00847E58" w:rsidRDefault="00847E58" w:rsidP="00DA079F">
      <w:pPr>
        <w:pStyle w:val="KUJKnormal"/>
        <w:spacing w:before="120"/>
        <w:rPr>
          <w:rFonts w:cs="Arial"/>
          <w:szCs w:val="20"/>
        </w:rPr>
      </w:pPr>
      <w:r>
        <w:rPr>
          <w:rFonts w:cs="Arial"/>
          <w:szCs w:val="20"/>
        </w:rPr>
        <w:t>Po zapracování připomínek bylo připraveno oznámení koncepce dle přílohy č. 7 Zákona č. 100/2001 Sb. (SEA). Oznámení bylo zasláno 4. 3. 2024 příslušnému oddělení KÚ. Dne 8. 3. 2024 bylo vydáno vyjádření, že ASJCK nestanoví rámec pro budoucí povolení záměrů uvedených v příloze č. 1 k zákonu o posuzování vlivů na životní prostředí, které by vzhledem k jejich umístění, povaze, velikosti, provozním podmínkám či požadavkům na přírodní zdroje vyvolaly nezbytnost posouzení vlivů na životní prostředí dle zákona o posuzování vlivů na životní prostředí, a tedy nebyly shledány důvody pro zahájení zjišťovacího řízení dle § 10d zákona o posuzování vlivů na životní prostředí.</w:t>
      </w:r>
    </w:p>
    <w:p w14:paraId="3DDD312A" w14:textId="77777777" w:rsidR="00847E58" w:rsidRDefault="00847E58" w:rsidP="00DA079F">
      <w:pPr>
        <w:pStyle w:val="KUJKnormal"/>
        <w:spacing w:before="120"/>
        <w:rPr>
          <w:rFonts w:cs="Arial"/>
          <w:szCs w:val="20"/>
        </w:rPr>
      </w:pPr>
      <w:r>
        <w:rPr>
          <w:rFonts w:cs="Arial"/>
          <w:szCs w:val="20"/>
        </w:rPr>
        <w:t>Tato verze Adaptační strategie Jihočeského kraje na změnu klimatu 2024–2034 je nyní předkládána orgánům Jihočeského kraje ke schválení.</w:t>
      </w:r>
    </w:p>
    <w:p w14:paraId="69B3F731" w14:textId="77777777" w:rsidR="00847E58" w:rsidRDefault="00847E58" w:rsidP="00DA079F">
      <w:pPr>
        <w:pStyle w:val="KUJKnormal"/>
        <w:spacing w:before="120"/>
        <w:rPr>
          <w:rFonts w:cs="Arial"/>
          <w:b/>
          <w:bCs/>
          <w:szCs w:val="20"/>
          <w:u w:val="single"/>
        </w:rPr>
      </w:pPr>
      <w:r>
        <w:rPr>
          <w:rFonts w:cs="Arial"/>
          <w:b/>
          <w:bCs/>
          <w:szCs w:val="20"/>
          <w:u w:val="single"/>
        </w:rPr>
        <w:t>Obsah ASJCK:</w:t>
      </w:r>
    </w:p>
    <w:p w14:paraId="381EF1F6" w14:textId="77777777" w:rsidR="00847E58" w:rsidRDefault="00847E58" w:rsidP="00DA079F">
      <w:pPr>
        <w:pStyle w:val="KUJKnormal"/>
        <w:spacing w:before="120"/>
        <w:rPr>
          <w:rFonts w:cs="Arial"/>
          <w:i/>
          <w:iCs/>
          <w:szCs w:val="20"/>
          <w:u w:val="single"/>
        </w:rPr>
      </w:pPr>
      <w:r>
        <w:rPr>
          <w:rFonts w:cs="Arial"/>
          <w:i/>
          <w:iCs/>
          <w:szCs w:val="20"/>
          <w:u w:val="single"/>
        </w:rPr>
        <w:t xml:space="preserve">1. Analytická část </w:t>
      </w:r>
    </w:p>
    <w:p w14:paraId="16353812" w14:textId="77777777" w:rsidR="00847E58" w:rsidRDefault="00847E58" w:rsidP="00DA079F">
      <w:pPr>
        <w:pStyle w:val="KUJKnormal"/>
        <w:rPr>
          <w:rFonts w:cs="Arial"/>
          <w:szCs w:val="20"/>
        </w:rPr>
      </w:pPr>
      <w:r>
        <w:rPr>
          <w:rFonts w:cs="Arial"/>
          <w:szCs w:val="20"/>
        </w:rPr>
        <w:t>Analytická část uvádí podrobné informace o území ve vztahu k adaptaci na dopady klimatické změny a její závěry tvoří základ pro odpovídající návrhy. Textová část je formalizována do podoby SWOT analýzy, grafický výstup tvoří Mapa zranitelnosti území Jihočeského kraje (samostatná příloha SP1). Další samostatnou přílohou je Přehled adaptačních strategií Jihočeského kraje (samostatná příloha SP2).</w:t>
      </w:r>
    </w:p>
    <w:p w14:paraId="12B4CBE1" w14:textId="77777777" w:rsidR="00847E58" w:rsidRDefault="00847E58" w:rsidP="00DA079F">
      <w:pPr>
        <w:pStyle w:val="KUJKnormal"/>
        <w:rPr>
          <w:rFonts w:cs="Arial"/>
          <w:szCs w:val="20"/>
        </w:rPr>
      </w:pPr>
      <w:r>
        <w:rPr>
          <w:rFonts w:cs="Arial"/>
          <w:szCs w:val="20"/>
        </w:rPr>
        <w:t>Struktura analytické části vychází ze zadávací dokumentace a je členěna takto:</w:t>
      </w:r>
    </w:p>
    <w:p w14:paraId="3CFE3933" w14:textId="77777777" w:rsidR="00847E58" w:rsidRDefault="00847E58" w:rsidP="00DA079F">
      <w:pPr>
        <w:pStyle w:val="KUJKnormal"/>
        <w:numPr>
          <w:ilvl w:val="0"/>
          <w:numId w:val="11"/>
        </w:numPr>
        <w:rPr>
          <w:rFonts w:cs="Arial"/>
          <w:szCs w:val="20"/>
        </w:rPr>
      </w:pPr>
      <w:r>
        <w:rPr>
          <w:rFonts w:cs="Arial"/>
          <w:szCs w:val="20"/>
        </w:rPr>
        <w:t>Účel studie, hlavní používané pojmy, vazba na další dokumenty</w:t>
      </w:r>
    </w:p>
    <w:p w14:paraId="7FE537C9" w14:textId="77777777" w:rsidR="00847E58" w:rsidRDefault="00847E58" w:rsidP="00DA079F">
      <w:pPr>
        <w:pStyle w:val="KUJKnormal"/>
        <w:numPr>
          <w:ilvl w:val="0"/>
          <w:numId w:val="11"/>
        </w:numPr>
        <w:rPr>
          <w:rFonts w:cs="Arial"/>
          <w:szCs w:val="20"/>
        </w:rPr>
      </w:pPr>
      <w:r>
        <w:rPr>
          <w:rFonts w:cs="Arial"/>
          <w:szCs w:val="20"/>
        </w:rPr>
        <w:t>Predikce vývoje hlavních klimatických charakteristik</w:t>
      </w:r>
    </w:p>
    <w:p w14:paraId="179A0731" w14:textId="77777777" w:rsidR="00847E58" w:rsidRDefault="00847E58" w:rsidP="00DA079F">
      <w:pPr>
        <w:pStyle w:val="KUJKnormal"/>
        <w:numPr>
          <w:ilvl w:val="0"/>
          <w:numId w:val="12"/>
        </w:numPr>
        <w:ind w:left="1134"/>
        <w:rPr>
          <w:rFonts w:cs="Arial"/>
          <w:szCs w:val="20"/>
        </w:rPr>
      </w:pPr>
      <w:r>
        <w:rPr>
          <w:rFonts w:cs="Arial"/>
          <w:szCs w:val="20"/>
        </w:rPr>
        <w:t>Na úrovni Evropy a České republiky</w:t>
      </w:r>
    </w:p>
    <w:p w14:paraId="0B12AF4E" w14:textId="77777777" w:rsidR="00847E58" w:rsidRDefault="00847E58" w:rsidP="00DA079F">
      <w:pPr>
        <w:pStyle w:val="KUJKnormal"/>
        <w:numPr>
          <w:ilvl w:val="0"/>
          <w:numId w:val="12"/>
        </w:numPr>
        <w:ind w:left="1134"/>
        <w:rPr>
          <w:rFonts w:cs="Arial"/>
          <w:szCs w:val="20"/>
        </w:rPr>
      </w:pPr>
      <w:r>
        <w:rPr>
          <w:rFonts w:cs="Arial"/>
          <w:szCs w:val="20"/>
        </w:rPr>
        <w:t>Na úrovni Jihočeského kraje – se zaměřením na teploty, srážky a riziko sucha</w:t>
      </w:r>
    </w:p>
    <w:p w14:paraId="66DC0845" w14:textId="77777777" w:rsidR="00847E58" w:rsidRDefault="00847E58" w:rsidP="00DA079F">
      <w:pPr>
        <w:pStyle w:val="KUJKnormal"/>
        <w:numPr>
          <w:ilvl w:val="0"/>
          <w:numId w:val="11"/>
        </w:numPr>
        <w:rPr>
          <w:rFonts w:cs="Arial"/>
          <w:szCs w:val="20"/>
        </w:rPr>
      </w:pPr>
      <w:r>
        <w:rPr>
          <w:rFonts w:cs="Arial"/>
          <w:szCs w:val="20"/>
        </w:rPr>
        <w:t>Dálkový průzkum země – analýza termální snímků sídel a krajiny</w:t>
      </w:r>
    </w:p>
    <w:p w14:paraId="22361D1B" w14:textId="77777777" w:rsidR="00847E58" w:rsidRDefault="00847E58" w:rsidP="00DA079F">
      <w:pPr>
        <w:pStyle w:val="KUJKnormal"/>
        <w:numPr>
          <w:ilvl w:val="0"/>
          <w:numId w:val="11"/>
        </w:numPr>
        <w:rPr>
          <w:rFonts w:cs="Arial"/>
          <w:szCs w:val="20"/>
        </w:rPr>
      </w:pPr>
      <w:r>
        <w:rPr>
          <w:rFonts w:cs="Arial"/>
          <w:szCs w:val="20"/>
        </w:rPr>
        <w:t>Analýza rizik a zranitelnosti pro jednotlivé zájmové oblasti v rámci Jihočeského kraje</w:t>
      </w:r>
    </w:p>
    <w:p w14:paraId="110746B7" w14:textId="77777777" w:rsidR="00847E58" w:rsidRDefault="00847E58" w:rsidP="00DA079F">
      <w:pPr>
        <w:pStyle w:val="KUJKnormal"/>
        <w:numPr>
          <w:ilvl w:val="0"/>
          <w:numId w:val="13"/>
        </w:numPr>
        <w:ind w:left="1134"/>
        <w:rPr>
          <w:rFonts w:cs="Arial"/>
          <w:szCs w:val="20"/>
        </w:rPr>
      </w:pPr>
      <w:r>
        <w:rPr>
          <w:rFonts w:cs="Arial"/>
          <w:szCs w:val="20"/>
        </w:rPr>
        <w:t>Ochrana přírody a krajiny</w:t>
      </w:r>
    </w:p>
    <w:p w14:paraId="5F308CE8" w14:textId="77777777" w:rsidR="00847E58" w:rsidRDefault="00847E58" w:rsidP="00DA079F">
      <w:pPr>
        <w:pStyle w:val="KUJKnormal"/>
        <w:numPr>
          <w:ilvl w:val="0"/>
          <w:numId w:val="13"/>
        </w:numPr>
        <w:ind w:left="1134"/>
        <w:rPr>
          <w:rFonts w:cs="Arial"/>
          <w:szCs w:val="20"/>
        </w:rPr>
      </w:pPr>
      <w:r>
        <w:rPr>
          <w:rFonts w:cs="Arial"/>
          <w:szCs w:val="20"/>
        </w:rPr>
        <w:t>Vodní režim, vodní hospodářství a riziko sucha</w:t>
      </w:r>
    </w:p>
    <w:p w14:paraId="649A837C" w14:textId="77777777" w:rsidR="00847E58" w:rsidRDefault="00847E58" w:rsidP="00DA079F">
      <w:pPr>
        <w:pStyle w:val="KUJKnormal"/>
        <w:numPr>
          <w:ilvl w:val="0"/>
          <w:numId w:val="13"/>
        </w:numPr>
        <w:ind w:left="1134"/>
        <w:rPr>
          <w:rFonts w:cs="Arial"/>
          <w:szCs w:val="20"/>
        </w:rPr>
      </w:pPr>
      <w:r>
        <w:rPr>
          <w:rFonts w:cs="Arial"/>
          <w:szCs w:val="20"/>
        </w:rPr>
        <w:t>Lesní hospodářství</w:t>
      </w:r>
    </w:p>
    <w:p w14:paraId="16B318C5" w14:textId="77777777" w:rsidR="00847E58" w:rsidRDefault="00847E58" w:rsidP="00DA079F">
      <w:pPr>
        <w:pStyle w:val="KUJKnormal"/>
        <w:numPr>
          <w:ilvl w:val="0"/>
          <w:numId w:val="13"/>
        </w:numPr>
        <w:ind w:left="1134"/>
        <w:rPr>
          <w:rFonts w:cs="Arial"/>
          <w:szCs w:val="20"/>
        </w:rPr>
      </w:pPr>
      <w:r>
        <w:rPr>
          <w:rFonts w:cs="Arial"/>
          <w:szCs w:val="20"/>
        </w:rPr>
        <w:t>Zemědělství</w:t>
      </w:r>
    </w:p>
    <w:p w14:paraId="6FCA068B" w14:textId="77777777" w:rsidR="00847E58" w:rsidRDefault="00847E58" w:rsidP="00DA079F">
      <w:pPr>
        <w:pStyle w:val="KUJKnormal"/>
        <w:numPr>
          <w:ilvl w:val="0"/>
          <w:numId w:val="13"/>
        </w:numPr>
        <w:ind w:left="1134"/>
        <w:rPr>
          <w:rFonts w:cs="Arial"/>
          <w:szCs w:val="20"/>
        </w:rPr>
      </w:pPr>
      <w:r>
        <w:rPr>
          <w:rFonts w:cs="Arial"/>
          <w:szCs w:val="20"/>
        </w:rPr>
        <w:t>Obyvatelstvo a veřejné zdraví</w:t>
      </w:r>
    </w:p>
    <w:p w14:paraId="3469FF8D" w14:textId="77777777" w:rsidR="00847E58" w:rsidRDefault="00847E58" w:rsidP="00DA079F">
      <w:pPr>
        <w:pStyle w:val="KUJKnormal"/>
        <w:numPr>
          <w:ilvl w:val="0"/>
          <w:numId w:val="13"/>
        </w:numPr>
        <w:ind w:left="1134"/>
        <w:rPr>
          <w:rFonts w:cs="Arial"/>
          <w:szCs w:val="20"/>
        </w:rPr>
      </w:pPr>
      <w:r>
        <w:rPr>
          <w:rFonts w:cs="Arial"/>
          <w:szCs w:val="20"/>
        </w:rPr>
        <w:t>Doprava a dopravní infrastruktura</w:t>
      </w:r>
    </w:p>
    <w:p w14:paraId="617DA434" w14:textId="77777777" w:rsidR="00847E58" w:rsidRDefault="00847E58" w:rsidP="00DA079F">
      <w:pPr>
        <w:pStyle w:val="KUJKnormal"/>
        <w:numPr>
          <w:ilvl w:val="0"/>
          <w:numId w:val="13"/>
        </w:numPr>
        <w:ind w:left="1134"/>
        <w:rPr>
          <w:rFonts w:cs="Arial"/>
          <w:szCs w:val="20"/>
        </w:rPr>
      </w:pPr>
      <w:r>
        <w:rPr>
          <w:rFonts w:cs="Arial"/>
          <w:szCs w:val="20"/>
        </w:rPr>
        <w:t>Cestovní ruch, kultura a sport</w:t>
      </w:r>
    </w:p>
    <w:p w14:paraId="2C1152E2" w14:textId="77777777" w:rsidR="00847E58" w:rsidRDefault="00847E58" w:rsidP="00DA079F">
      <w:pPr>
        <w:pStyle w:val="KUJKnormal"/>
        <w:numPr>
          <w:ilvl w:val="0"/>
          <w:numId w:val="13"/>
        </w:numPr>
        <w:ind w:left="1134"/>
        <w:rPr>
          <w:rFonts w:cs="Arial"/>
          <w:szCs w:val="20"/>
        </w:rPr>
      </w:pPr>
      <w:r>
        <w:rPr>
          <w:rFonts w:cs="Arial"/>
          <w:szCs w:val="20"/>
        </w:rPr>
        <w:t>Průmysl a energetika</w:t>
      </w:r>
    </w:p>
    <w:p w14:paraId="2FA56279" w14:textId="77777777" w:rsidR="00847E58" w:rsidRDefault="00847E58" w:rsidP="00DA079F">
      <w:pPr>
        <w:pStyle w:val="KUJKnormal"/>
        <w:numPr>
          <w:ilvl w:val="0"/>
          <w:numId w:val="13"/>
        </w:numPr>
        <w:ind w:left="1134"/>
        <w:rPr>
          <w:rFonts w:cs="Arial"/>
          <w:szCs w:val="20"/>
        </w:rPr>
      </w:pPr>
      <w:r>
        <w:rPr>
          <w:rFonts w:cs="Arial"/>
          <w:szCs w:val="20"/>
        </w:rPr>
        <w:t>Mimořádné události a ochrana obyvatelstva</w:t>
      </w:r>
    </w:p>
    <w:p w14:paraId="76BF8289" w14:textId="77777777" w:rsidR="00847E58" w:rsidRDefault="00847E58" w:rsidP="00DA079F">
      <w:pPr>
        <w:pStyle w:val="KUJKnormal"/>
        <w:numPr>
          <w:ilvl w:val="0"/>
          <w:numId w:val="13"/>
        </w:numPr>
        <w:ind w:left="1134"/>
        <w:rPr>
          <w:rFonts w:cs="Arial"/>
          <w:szCs w:val="20"/>
        </w:rPr>
      </w:pPr>
      <w:r>
        <w:rPr>
          <w:rFonts w:cs="Arial"/>
          <w:szCs w:val="20"/>
        </w:rPr>
        <w:t>Stav systémových opatření pro podporu adaptací</w:t>
      </w:r>
    </w:p>
    <w:p w14:paraId="2BFFC605" w14:textId="77777777" w:rsidR="00847E58" w:rsidRDefault="00847E58" w:rsidP="00DA079F">
      <w:pPr>
        <w:pStyle w:val="KUJKnormal"/>
        <w:rPr>
          <w:rFonts w:cs="Arial"/>
          <w:szCs w:val="20"/>
        </w:rPr>
      </w:pPr>
      <w:r>
        <w:rPr>
          <w:rFonts w:cs="Arial"/>
          <w:szCs w:val="20"/>
        </w:rPr>
        <w:t>V průběhu zpracování analytické části se na zpracovatele obrátili zástupci CzechGlobe, kteří pro srovnání s připravenou analytickou částí poskytli také podklady Indexu ESAI (Environmental Sensitivity Assessment Index). Výstupy ESAI jsou zařazeny jako příloha analytické části a jsou použity pro srovnání s „klasickými“ analytickými výstupy adaptační strategie.</w:t>
      </w:r>
    </w:p>
    <w:p w14:paraId="0E5C7839" w14:textId="77777777" w:rsidR="00847E58" w:rsidRDefault="00847E58" w:rsidP="00DA079F">
      <w:pPr>
        <w:pStyle w:val="KUJKnormal"/>
        <w:spacing w:before="120"/>
        <w:rPr>
          <w:rFonts w:cs="Arial"/>
          <w:i/>
          <w:iCs/>
          <w:szCs w:val="20"/>
          <w:u w:val="single"/>
        </w:rPr>
      </w:pPr>
      <w:r>
        <w:rPr>
          <w:rFonts w:cs="Arial"/>
          <w:i/>
          <w:iCs/>
          <w:szCs w:val="20"/>
          <w:u w:val="single"/>
        </w:rPr>
        <w:t>2. Návrhová část</w:t>
      </w:r>
    </w:p>
    <w:p w14:paraId="0C7CE459" w14:textId="77777777" w:rsidR="00847E58" w:rsidRDefault="00847E58" w:rsidP="00DA079F">
      <w:pPr>
        <w:pStyle w:val="KUJKnormal"/>
        <w:rPr>
          <w:rFonts w:cs="Arial"/>
          <w:szCs w:val="20"/>
        </w:rPr>
      </w:pPr>
      <w:r>
        <w:rPr>
          <w:rFonts w:cs="Arial"/>
          <w:szCs w:val="20"/>
        </w:rPr>
        <w:t>Návrhová část tvoří rámec pro jednotlivá opatření v oblasti adaptace na dopady změny klimatu (adaptace) a ochrany klimatu (mitigace). Podmínkou je, aby byla zřejmá logická linka mezi potenciálem území, resp. hrozbami/riziky, které byly v území z hlediska dopadu klimatické změny identifikovány, a hierarchií intervencí (cíle, opatření, aktivity), kterými na tyto analytické závěry strategie reaguje. Součástí návrhové části je Návrh zpracování pilotního projektu</w:t>
      </w:r>
    </w:p>
    <w:p w14:paraId="2E50E24E" w14:textId="77777777" w:rsidR="00847E58" w:rsidRDefault="00847E58" w:rsidP="00DA079F">
      <w:pPr>
        <w:pStyle w:val="KUJKnormal"/>
        <w:spacing w:before="120"/>
        <w:rPr>
          <w:rFonts w:cs="Arial"/>
          <w:i/>
          <w:iCs/>
          <w:szCs w:val="20"/>
        </w:rPr>
      </w:pPr>
      <w:r>
        <w:rPr>
          <w:rFonts w:cs="Arial"/>
          <w:i/>
          <w:iCs/>
          <w:szCs w:val="20"/>
          <w:u w:val="single"/>
        </w:rPr>
        <w:t>Hlavní vize ASJCK:</w:t>
      </w:r>
      <w:r>
        <w:rPr>
          <w:rFonts w:cs="Arial"/>
          <w:i/>
          <w:iCs/>
          <w:szCs w:val="20"/>
        </w:rPr>
        <w:t xml:space="preserve"> </w:t>
      </w:r>
    </w:p>
    <w:p w14:paraId="7006981C" w14:textId="77777777" w:rsidR="00847E58" w:rsidRDefault="00847E58" w:rsidP="00DA079F">
      <w:pPr>
        <w:pStyle w:val="KUJKnormal"/>
        <w:rPr>
          <w:rFonts w:cs="Arial"/>
          <w:szCs w:val="20"/>
        </w:rPr>
      </w:pPr>
      <w:r>
        <w:rPr>
          <w:rFonts w:cs="Arial"/>
          <w:szCs w:val="20"/>
        </w:rPr>
        <w:t>Jihočeský kraj bude v návrhovém horizontu adaptační strategie přiměřeně adaptován na predikovaná rizika dopadů změny klimatu a současně bude snižovat svůj vliv na klima. Dopady změny klimatu však nebudou chápány pouze jako hrozba, ale také jako příležitost pro rozvoj kraje, založený na udržitelnosti přírodních hodnot kraje a zvyšování kvality života jeho obyvatel. Tato vize bude postupně naplňována nejen specifickými, na adaptaci nebo ochranu klimatu zaměřenými projekty, ale zejména zahrnutím klimatických opatření do běžných činností kraje a jím zřizovaných organizací a také jako součást všech relevantních projektů.</w:t>
      </w:r>
    </w:p>
    <w:p w14:paraId="480658D7" w14:textId="77777777" w:rsidR="00847E58" w:rsidRDefault="00847E58" w:rsidP="00DA079F">
      <w:pPr>
        <w:pStyle w:val="KUJKnormal"/>
        <w:rPr>
          <w:rFonts w:cs="Arial"/>
          <w:szCs w:val="20"/>
        </w:rPr>
      </w:pPr>
      <w:r>
        <w:rPr>
          <w:rFonts w:cs="Arial"/>
          <w:szCs w:val="20"/>
        </w:rPr>
        <w:t xml:space="preserve">Dosažení uvedeného cílového stavu bude podporováno zodpovědnou klimatickou politikou kraje, která bude zaměřena nejen na oblasti, v nichž mohou být využity přímé kompetence kraje, ale také na činnosti, v nichž </w:t>
      </w:r>
      <w:r>
        <w:rPr>
          <w:rFonts w:cs="Arial"/>
          <w:szCs w:val="20"/>
        </w:rPr>
        <w:lastRenderedPageBreak/>
        <w:t>může kraj demonstrovat příklady dobré praxe a tím motivovat a inspirovat spolupracující subjekty, zejména obce, ostatní klíčové aktéry a veřejnost.</w:t>
      </w:r>
    </w:p>
    <w:p w14:paraId="368B14E3" w14:textId="77777777" w:rsidR="00847E58" w:rsidRDefault="00847E58" w:rsidP="00DA079F">
      <w:pPr>
        <w:pStyle w:val="KUJKnormal"/>
        <w:spacing w:before="60"/>
        <w:rPr>
          <w:rFonts w:cs="Arial"/>
          <w:szCs w:val="20"/>
        </w:rPr>
      </w:pPr>
      <w:r>
        <w:rPr>
          <w:rFonts w:cs="Arial"/>
          <w:szCs w:val="20"/>
        </w:rPr>
        <w:t>Navrhovaná opatření a z nich vyplývající projekty budou především</w:t>
      </w:r>
    </w:p>
    <w:p w14:paraId="10AD07B5" w14:textId="77777777" w:rsidR="00847E58" w:rsidRDefault="00847E58" w:rsidP="00DA079F">
      <w:pPr>
        <w:pStyle w:val="KUJKnormal"/>
        <w:numPr>
          <w:ilvl w:val="0"/>
          <w:numId w:val="14"/>
        </w:numPr>
        <w:rPr>
          <w:rFonts w:cs="Arial"/>
          <w:szCs w:val="20"/>
        </w:rPr>
      </w:pPr>
      <w:r>
        <w:rPr>
          <w:rFonts w:cs="Arial"/>
          <w:szCs w:val="20"/>
        </w:rPr>
        <w:t>chránit přírodu a krajinu a posilovat odolnost zemědělství a lesního hospodářství</w:t>
      </w:r>
    </w:p>
    <w:p w14:paraId="590D69EB" w14:textId="77777777" w:rsidR="00847E58" w:rsidRDefault="00847E58" w:rsidP="00DA079F">
      <w:pPr>
        <w:pStyle w:val="KUJKnormal"/>
        <w:numPr>
          <w:ilvl w:val="0"/>
          <w:numId w:val="14"/>
        </w:numPr>
        <w:rPr>
          <w:rFonts w:cs="Arial"/>
          <w:szCs w:val="20"/>
        </w:rPr>
      </w:pPr>
      <w:r>
        <w:rPr>
          <w:rFonts w:cs="Arial"/>
          <w:szCs w:val="20"/>
        </w:rPr>
        <w:t>zlepšovat kvalitu života jeho obyvatel a chránit zranitelné skupiny obyvatel před negativními dopady klimatické změny</w:t>
      </w:r>
    </w:p>
    <w:p w14:paraId="72A53AEE" w14:textId="77777777" w:rsidR="00847E58" w:rsidRDefault="00847E58" w:rsidP="00DA079F">
      <w:pPr>
        <w:pStyle w:val="KUJKnormal"/>
        <w:numPr>
          <w:ilvl w:val="0"/>
          <w:numId w:val="14"/>
        </w:numPr>
        <w:rPr>
          <w:rFonts w:cs="Arial"/>
          <w:szCs w:val="20"/>
        </w:rPr>
      </w:pPr>
      <w:r>
        <w:rPr>
          <w:rFonts w:cs="Arial"/>
          <w:szCs w:val="20"/>
        </w:rPr>
        <w:t>zvyšovat atraktivitu kraje pro udržitelné podnikání a cestovní ruch</w:t>
      </w:r>
    </w:p>
    <w:p w14:paraId="47D29F24" w14:textId="77777777" w:rsidR="00847E58" w:rsidRDefault="00847E58" w:rsidP="00DA079F">
      <w:pPr>
        <w:pStyle w:val="KUJKnormal"/>
        <w:numPr>
          <w:ilvl w:val="0"/>
          <w:numId w:val="14"/>
        </w:numPr>
        <w:rPr>
          <w:rFonts w:cs="Arial"/>
          <w:szCs w:val="20"/>
        </w:rPr>
      </w:pPr>
      <w:r>
        <w:rPr>
          <w:rFonts w:cs="Arial"/>
          <w:szCs w:val="20"/>
        </w:rPr>
        <w:t>v neposlední řadě snižovat produkci skleníkových plynů.</w:t>
      </w:r>
    </w:p>
    <w:p w14:paraId="76300A75" w14:textId="77777777" w:rsidR="00847E58" w:rsidRDefault="00847E58" w:rsidP="00DA079F">
      <w:pPr>
        <w:pStyle w:val="KUJKnormal"/>
        <w:spacing w:before="120"/>
        <w:rPr>
          <w:rFonts w:cs="Arial"/>
          <w:i/>
          <w:iCs/>
          <w:szCs w:val="20"/>
          <w:u w:val="single"/>
        </w:rPr>
      </w:pPr>
      <w:r>
        <w:rPr>
          <w:rFonts w:cs="Arial"/>
          <w:i/>
          <w:iCs/>
          <w:szCs w:val="20"/>
          <w:u w:val="single"/>
        </w:rPr>
        <w:t>Adaptační opatření jsou rozpracována do následujících specifických cílů:</w:t>
      </w:r>
    </w:p>
    <w:p w14:paraId="2C0E174D" w14:textId="77777777" w:rsidR="00847E58" w:rsidRDefault="00847E58" w:rsidP="00DA079F">
      <w:pPr>
        <w:pStyle w:val="KUJKnormal"/>
        <w:numPr>
          <w:ilvl w:val="0"/>
          <w:numId w:val="15"/>
        </w:numPr>
        <w:spacing w:before="60"/>
        <w:ind w:left="714" w:hanging="357"/>
        <w:rPr>
          <w:rFonts w:cs="Arial"/>
          <w:szCs w:val="20"/>
        </w:rPr>
      </w:pPr>
      <w:r>
        <w:rPr>
          <w:rFonts w:cs="Arial"/>
          <w:szCs w:val="20"/>
        </w:rPr>
        <w:t xml:space="preserve">Specifický cíl 1: Stabilní a adaptovaná krajina s vyrovnaným hospodařením s vodou </w:t>
      </w:r>
    </w:p>
    <w:p w14:paraId="33A0B4EC" w14:textId="77777777" w:rsidR="00847E58" w:rsidRDefault="00847E58" w:rsidP="00DA079F">
      <w:pPr>
        <w:pStyle w:val="KUJKnormal"/>
        <w:numPr>
          <w:ilvl w:val="0"/>
          <w:numId w:val="15"/>
        </w:numPr>
        <w:rPr>
          <w:rFonts w:cs="Arial"/>
          <w:szCs w:val="20"/>
        </w:rPr>
      </w:pPr>
      <w:r>
        <w:rPr>
          <w:rFonts w:cs="Arial"/>
          <w:szCs w:val="20"/>
        </w:rPr>
        <w:t xml:space="preserve">Specifický cíl 2: Hospodaření v krajině zvyšující odolnost vůči klimatické změně </w:t>
      </w:r>
    </w:p>
    <w:p w14:paraId="3749944E" w14:textId="77777777" w:rsidR="00847E58" w:rsidRDefault="00847E58" w:rsidP="00DA079F">
      <w:pPr>
        <w:pStyle w:val="KUJKnormal"/>
        <w:numPr>
          <w:ilvl w:val="0"/>
          <w:numId w:val="15"/>
        </w:numPr>
        <w:rPr>
          <w:rFonts w:cs="Arial"/>
          <w:szCs w:val="20"/>
        </w:rPr>
      </w:pPr>
      <w:r>
        <w:rPr>
          <w:rFonts w:cs="Arial"/>
          <w:szCs w:val="20"/>
        </w:rPr>
        <w:t xml:space="preserve">Specifický cíl 3: Zvýšená ochrana obyvatel před dopady klimatické změny, včetně mimořádných událostí </w:t>
      </w:r>
    </w:p>
    <w:p w14:paraId="1CCB549F" w14:textId="77777777" w:rsidR="00847E58" w:rsidRDefault="00847E58" w:rsidP="00DA079F">
      <w:pPr>
        <w:pStyle w:val="KUJKnormal"/>
        <w:numPr>
          <w:ilvl w:val="0"/>
          <w:numId w:val="15"/>
        </w:numPr>
        <w:rPr>
          <w:rFonts w:cs="Arial"/>
          <w:szCs w:val="20"/>
        </w:rPr>
      </w:pPr>
      <w:r>
        <w:rPr>
          <w:rFonts w:cs="Arial"/>
          <w:szCs w:val="20"/>
        </w:rPr>
        <w:t xml:space="preserve">Specifický cíl 4: Adaptovaná doprava s nízkými vlivy na klima </w:t>
      </w:r>
    </w:p>
    <w:p w14:paraId="3F7A1AE6" w14:textId="77777777" w:rsidR="00847E58" w:rsidRDefault="00847E58" w:rsidP="00DA079F">
      <w:pPr>
        <w:pStyle w:val="KUJKnormal"/>
        <w:numPr>
          <w:ilvl w:val="0"/>
          <w:numId w:val="15"/>
        </w:numPr>
        <w:rPr>
          <w:rFonts w:cs="Arial"/>
          <w:szCs w:val="20"/>
        </w:rPr>
      </w:pPr>
      <w:r>
        <w:rPr>
          <w:rFonts w:cs="Arial"/>
          <w:szCs w:val="20"/>
        </w:rPr>
        <w:t xml:space="preserve">Specifický cíl 5: Dobře adaptované budovy s nízkou energetickou náročností a posílení energetické soběstačnosti s využitím místních obnovitelných zdrojů </w:t>
      </w:r>
    </w:p>
    <w:p w14:paraId="4A66B9CD" w14:textId="77777777" w:rsidR="00847E58" w:rsidRDefault="00847E58" w:rsidP="00DA079F">
      <w:pPr>
        <w:pStyle w:val="KUJKnormal"/>
        <w:numPr>
          <w:ilvl w:val="0"/>
          <w:numId w:val="15"/>
        </w:numPr>
        <w:rPr>
          <w:rFonts w:cs="Arial"/>
          <w:szCs w:val="20"/>
        </w:rPr>
      </w:pPr>
      <w:r>
        <w:rPr>
          <w:rFonts w:cs="Arial"/>
          <w:szCs w:val="20"/>
        </w:rPr>
        <w:t xml:space="preserve">Specifický cíl 6: Šetrný cestovní ruch a kultura adaptované na klimatickou změnu a s nízkými vlivy na klima </w:t>
      </w:r>
    </w:p>
    <w:p w14:paraId="61F2DBEA" w14:textId="77777777" w:rsidR="00847E58" w:rsidRDefault="00847E58" w:rsidP="00DA079F">
      <w:pPr>
        <w:pStyle w:val="KUJKnormal"/>
        <w:numPr>
          <w:ilvl w:val="0"/>
          <w:numId w:val="15"/>
        </w:numPr>
        <w:rPr>
          <w:rFonts w:cs="Arial"/>
          <w:szCs w:val="20"/>
        </w:rPr>
      </w:pPr>
      <w:r>
        <w:rPr>
          <w:rFonts w:cs="Arial"/>
          <w:szCs w:val="20"/>
        </w:rPr>
        <w:t>Specifický cíl 7: Úprava strategických dokumentů Jihočeského kraje</w:t>
      </w:r>
    </w:p>
    <w:p w14:paraId="3CEB962C" w14:textId="77777777" w:rsidR="00847E58" w:rsidRDefault="00847E58" w:rsidP="00DA079F">
      <w:pPr>
        <w:pStyle w:val="KUJKnormal"/>
        <w:numPr>
          <w:ilvl w:val="0"/>
          <w:numId w:val="15"/>
        </w:numPr>
        <w:rPr>
          <w:rFonts w:cs="Arial"/>
          <w:szCs w:val="20"/>
        </w:rPr>
      </w:pPr>
      <w:r>
        <w:rPr>
          <w:rFonts w:cs="Arial"/>
          <w:szCs w:val="20"/>
        </w:rPr>
        <w:t xml:space="preserve">Specifický cíl 8: Další systémová opatření na podporu adaptace a mitigace klimatické změny </w:t>
      </w:r>
    </w:p>
    <w:p w14:paraId="34ECDA9F" w14:textId="77777777" w:rsidR="00847E58" w:rsidRDefault="00847E58" w:rsidP="00DA079F">
      <w:pPr>
        <w:pStyle w:val="KUJKnormal"/>
        <w:spacing w:before="120"/>
        <w:rPr>
          <w:rFonts w:cs="Arial"/>
          <w:i/>
          <w:iCs/>
          <w:szCs w:val="20"/>
          <w:u w:val="single"/>
        </w:rPr>
      </w:pPr>
      <w:r>
        <w:rPr>
          <w:rFonts w:cs="Arial"/>
          <w:i/>
          <w:iCs/>
          <w:szCs w:val="20"/>
          <w:u w:val="single"/>
        </w:rPr>
        <w:t>Samostatnou přílohou návrhové části je návrh pilotních projektů:</w:t>
      </w:r>
    </w:p>
    <w:p w14:paraId="7D8BC7EC" w14:textId="77777777" w:rsidR="00847E58" w:rsidRDefault="00847E58" w:rsidP="00DA079F">
      <w:pPr>
        <w:pStyle w:val="KUJKnormal"/>
        <w:rPr>
          <w:rFonts w:cs="Arial"/>
          <w:szCs w:val="20"/>
        </w:rPr>
      </w:pPr>
      <w:r>
        <w:rPr>
          <w:rFonts w:cs="Arial"/>
          <w:szCs w:val="20"/>
        </w:rPr>
        <w:t>Cílem této části je zpracování návrhu na majetku Jihočeského kraje na základě podkladů dodaných objednatelem a vyhodnocení předpokladu dopadu jeho realizace na zmírnění negativních projevů klimatické změny.</w:t>
      </w:r>
    </w:p>
    <w:p w14:paraId="7681917B" w14:textId="77777777" w:rsidR="00847E58" w:rsidRDefault="00847E58" w:rsidP="00DA079F">
      <w:pPr>
        <w:pStyle w:val="KUJKnormal"/>
        <w:rPr>
          <w:rFonts w:cs="Arial"/>
          <w:szCs w:val="20"/>
        </w:rPr>
      </w:pPr>
      <w:r>
        <w:rPr>
          <w:rFonts w:cs="Arial"/>
          <w:szCs w:val="20"/>
        </w:rPr>
        <w:t>Z dodaných podkladů vyplynulo, že v původně plánovaném regionu, kde byla provedena „Studie území v povodí Bílého potoka včetně návrhu protierozních a protipovodňových opatření“ a „Komplexní vodohospodářská studie povodí Sudoměřské rybniční soustavy a rybníka Řežabinec“, Jihočeský kraj nevlastní žádné vhodné pozemky, na nichž by bylo možné realizovat účinná adaptační opatření. Vlastnictví kraje je omezeno pouze na vlastní plochy rybníků a jejich nejbližšího okolí.</w:t>
      </w:r>
    </w:p>
    <w:p w14:paraId="63B7197D" w14:textId="77777777" w:rsidR="00847E58" w:rsidRDefault="00847E58" w:rsidP="00DA079F">
      <w:pPr>
        <w:pStyle w:val="KUJKnormal"/>
      </w:pPr>
      <w:r>
        <w:rPr>
          <w:rFonts w:cs="Arial"/>
          <w:szCs w:val="20"/>
        </w:rPr>
        <w:t>S ohledem na uvedené omezení (absence vhodných pozemků v majetku Jihočeského kraje ve výše uvedené oblasti), bylo navrženo a ze strany objednatele odsouhlaseno provést pilotní projekt na území Jihočeského kraje v katastrálním území Měšice u Tábora. Jihočeský kraj zde disponuje velkou výměrou souvislých zemědělských pozemků, které jsou svou povahou vhodné k realizaci adaptačních opatření, a zároveň je možné využít synergický efekt, protože druhým nejvýznamnějším vlastníkem pozemků v lokalitě je obec – město Tábor. Navíc právo hospodařit se svěřeným majetkem kraje má Vyšší odborná škola a Střední zemědělská škola Tábor, která na nich z větší části také přímo hospodaří, což může mít efekt nejen v oblasti zmírnění dopadů změny klimatu, ale také v oblasti environmentálního/klimatického vzdělávání a osvěty. V případě realizace mohou studenti v rámci výuky získat cenné zkušenosti s realizací adaptačních opatření a naučí se přenést moderní trendy v zemědělství do praxe.</w:t>
      </w:r>
    </w:p>
    <w:p w14:paraId="0259A95B" w14:textId="77777777" w:rsidR="00847E58" w:rsidRDefault="00847E58" w:rsidP="00EF17F2">
      <w:pPr>
        <w:pStyle w:val="KUJKnormal"/>
      </w:pPr>
    </w:p>
    <w:p w14:paraId="44C2AC79" w14:textId="77777777" w:rsidR="00847E58" w:rsidRDefault="00847E58" w:rsidP="00EF17F2">
      <w:pPr>
        <w:pStyle w:val="KUJKnormal"/>
      </w:pPr>
      <w:r>
        <w:t>Finanční nároky a krytí: nemá dopad do rozpočtu kraje</w:t>
      </w:r>
    </w:p>
    <w:p w14:paraId="7B5F826F" w14:textId="77777777" w:rsidR="00847E58" w:rsidRDefault="00847E58">
      <w:pPr>
        <w:pStyle w:val="KUJKnormal"/>
      </w:pPr>
    </w:p>
    <w:p w14:paraId="1A1BE36C" w14:textId="77777777" w:rsidR="00847E58" w:rsidRDefault="00847E58" w:rsidP="00EF17F2">
      <w:pPr>
        <w:pStyle w:val="KUJKnormal"/>
      </w:pPr>
      <w:r>
        <w:t>Vyjádření správce rozpočtu: není vyžadován</w:t>
      </w:r>
    </w:p>
    <w:p w14:paraId="3AF06CE4" w14:textId="77777777" w:rsidR="00847E58" w:rsidRDefault="00847E58" w:rsidP="00EF17F2">
      <w:pPr>
        <w:pStyle w:val="KUJKnormal"/>
      </w:pPr>
    </w:p>
    <w:p w14:paraId="348E4BAF" w14:textId="77777777" w:rsidR="00847E58" w:rsidRDefault="00847E58" w:rsidP="00930B76">
      <w:pPr>
        <w:pStyle w:val="KUJKnormal"/>
      </w:pPr>
      <w:r>
        <w:t>Návrh projednán (stanoviska): Materiál byl projednán radou Jihočeského kraje a doporučen zastupitelstvu kraje ke schválení (usnesení č 417/2024/RK-87 ze dne 11. 4. 2024).</w:t>
      </w:r>
    </w:p>
    <w:p w14:paraId="51FA3EC8" w14:textId="77777777" w:rsidR="00847E58" w:rsidRDefault="00847E58" w:rsidP="00EF17F2">
      <w:pPr>
        <w:pStyle w:val="KUJKnormal"/>
      </w:pPr>
    </w:p>
    <w:p w14:paraId="08476011" w14:textId="77777777" w:rsidR="00847E58" w:rsidRPr="007939A8" w:rsidRDefault="00847E58" w:rsidP="00EF17F2">
      <w:pPr>
        <w:pStyle w:val="KUJKtucny"/>
      </w:pPr>
      <w:r w:rsidRPr="007939A8">
        <w:t>PŘÍLOHY:</w:t>
      </w:r>
    </w:p>
    <w:p w14:paraId="353D24BF" w14:textId="77777777" w:rsidR="00847E58" w:rsidRDefault="00847E58" w:rsidP="00DA079F">
      <w:pPr>
        <w:pStyle w:val="KUJKnormal"/>
        <w:rPr>
          <w:rFonts w:cs="Arial"/>
          <w:szCs w:val="20"/>
        </w:rPr>
      </w:pPr>
      <w:bookmarkStart w:id="2" w:name="_Hlk135806965"/>
      <w:r>
        <w:rPr>
          <w:rFonts w:cs="Arial"/>
          <w:szCs w:val="20"/>
        </w:rPr>
        <w:t>Adaptační strategie Jihočeského kraje na změnu klimatu 2024–2034 je z důvodu značného rozsahu k dispozici pouze na www stránkách:</w:t>
      </w:r>
    </w:p>
    <w:bookmarkEnd w:id="2"/>
    <w:p w14:paraId="05B7928D" w14:textId="77777777" w:rsidR="00847E58" w:rsidRDefault="00847E58" w:rsidP="00E11D8E">
      <w:pPr>
        <w:spacing w:before="12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"https://zp.kraj-jihocesky.cz/oddeleni/eia-sea-ippc-koncepce/koncepce-studie/adaptacni-strategie-jihoceskeho-kraje-na-zmenu-klimatu"</w:instrText>
      </w:r>
      <w:r>
        <w:rPr>
          <w:rFonts w:ascii="Arial" w:hAnsi="Arial" w:cs="Arial"/>
          <w:sz w:val="20"/>
          <w:szCs w:val="20"/>
        </w:rPr>
      </w:r>
      <w:r>
        <w:rPr>
          <w:rFonts w:ascii="Arial" w:hAnsi="Arial" w:cs="Arial"/>
          <w:sz w:val="20"/>
          <w:szCs w:val="20"/>
        </w:rPr>
        <w:fldChar w:fldCharType="separate"/>
      </w:r>
      <w:r>
        <w:rPr>
          <w:rStyle w:val="Hypertextovodkaz"/>
          <w:rFonts w:ascii="Arial" w:hAnsi="Arial" w:cs="Arial"/>
          <w:sz w:val="20"/>
          <w:szCs w:val="20"/>
        </w:rPr>
        <w:t>https://zp.kraj-jihocesky.cz/oddeleni/eia-sea-ippc-koncepce/koncepce-studie/adaptacni-strategie-jihoceskeho-kraje-na-zmenu-klimatu</w:t>
      </w:r>
      <w:r>
        <w:rPr>
          <w:rFonts w:ascii="Arial" w:hAnsi="Arial" w:cs="Arial"/>
          <w:sz w:val="20"/>
          <w:szCs w:val="20"/>
        </w:rPr>
        <w:fldChar w:fldCharType="end"/>
      </w:r>
    </w:p>
    <w:p w14:paraId="6E7DD28F" w14:textId="77777777" w:rsidR="00847E58" w:rsidRDefault="00847E58">
      <w:pPr>
        <w:pStyle w:val="KUJKnormal"/>
      </w:pPr>
    </w:p>
    <w:p w14:paraId="6C039FA6" w14:textId="77777777" w:rsidR="00847E58" w:rsidRPr="007C1EE7" w:rsidRDefault="00847E58" w:rsidP="00EF17F2">
      <w:pPr>
        <w:pStyle w:val="KUJKtucny"/>
      </w:pPr>
      <w:r w:rsidRPr="007C1EE7">
        <w:t>Zodpovídá:</w:t>
      </w:r>
      <w:r>
        <w:t xml:space="preserve"> </w:t>
      </w:r>
      <w:r w:rsidRPr="00DA079F">
        <w:rPr>
          <w:b w:val="0"/>
          <w:bCs/>
        </w:rPr>
        <w:t>vedoucí OZZL – Ing. Zdeněk Klimeš</w:t>
      </w:r>
    </w:p>
    <w:p w14:paraId="62108C21" w14:textId="77777777" w:rsidR="00847E58" w:rsidRDefault="00847E58" w:rsidP="00EF17F2">
      <w:pPr>
        <w:pStyle w:val="KUJKnormal"/>
      </w:pPr>
    </w:p>
    <w:p w14:paraId="2FDCAC53" w14:textId="77777777" w:rsidR="00847E58" w:rsidRDefault="00847E58" w:rsidP="00EF17F2">
      <w:pPr>
        <w:pStyle w:val="KUJKnormal"/>
      </w:pPr>
      <w:r>
        <w:t>Termín kontroly: 21. 6. 2024</w:t>
      </w:r>
    </w:p>
    <w:p w14:paraId="3FCBB9EE" w14:textId="77777777" w:rsidR="00847E58" w:rsidRDefault="00847E58" w:rsidP="00EF17F2">
      <w:pPr>
        <w:pStyle w:val="KUJKnormal"/>
      </w:pPr>
      <w:r>
        <w:t>Termín splnění: 21. 6. 2024</w:t>
      </w:r>
    </w:p>
    <w:p w14:paraId="05A8A7C5" w14:textId="77777777" w:rsidR="00847E58" w:rsidRDefault="00847E5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50AF" w14:textId="77777777" w:rsidR="00847E58" w:rsidRDefault="00847E58" w:rsidP="00847E58">
    <w:r>
      <w:rPr>
        <w:noProof/>
      </w:rPr>
      <w:pict w14:anchorId="46DC887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8D826D1" w14:textId="77777777" w:rsidR="00847E58" w:rsidRPr="005F485E" w:rsidRDefault="00847E58" w:rsidP="00847E58">
                <w:pPr>
                  <w:spacing w:after="60"/>
                  <w:rPr>
                    <w:rFonts w:ascii="Arial" w:hAnsi="Arial" w:cs="Arial"/>
                    <w:b/>
                    <w:sz w:val="22"/>
                  </w:rPr>
                </w:pPr>
                <w:r w:rsidRPr="005F485E">
                  <w:rPr>
                    <w:rFonts w:ascii="Arial" w:hAnsi="Arial" w:cs="Arial"/>
                    <w:b/>
                    <w:sz w:val="22"/>
                  </w:rPr>
                  <w:t>ZASTUPITELSTVO JIHOČESKÉHO KRAJE</w:t>
                </w:r>
              </w:p>
              <w:p w14:paraId="77560022" w14:textId="77777777" w:rsidR="00847E58" w:rsidRPr="005F485E" w:rsidRDefault="00847E58" w:rsidP="00847E5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56C8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2F426EF" w14:textId="77777777" w:rsidR="00847E58" w:rsidRDefault="00847E58" w:rsidP="00847E58">
    <w:r>
      <w:pict w14:anchorId="0087125D">
        <v:rect id="_x0000_i1026" style="width:481.9pt;height:2pt" o:hralign="center" o:hrstd="t" o:hrnoshade="t" o:hr="t" fillcolor="black" stroked="f"/>
      </w:pict>
    </w:r>
  </w:p>
  <w:p w14:paraId="379A891E" w14:textId="77777777" w:rsidR="00847E58" w:rsidRPr="00847E58" w:rsidRDefault="00847E58" w:rsidP="00847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97328A"/>
    <w:multiLevelType w:val="hybridMultilevel"/>
    <w:tmpl w:val="17487E8E"/>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FB1B63"/>
    <w:multiLevelType w:val="hybridMultilevel"/>
    <w:tmpl w:val="9A622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D2403FB"/>
    <w:multiLevelType w:val="hybridMultilevel"/>
    <w:tmpl w:val="11E85B12"/>
    <w:lvl w:ilvl="0" w:tplc="AB1CC4AA">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E82B4A"/>
    <w:multiLevelType w:val="hybridMultilevel"/>
    <w:tmpl w:val="DD94F8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5AF30F6"/>
    <w:multiLevelType w:val="hybridMultilevel"/>
    <w:tmpl w:val="CE3672FC"/>
    <w:lvl w:ilvl="0" w:tplc="AB1CC4AA">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763395">
    <w:abstractNumId w:val="2"/>
  </w:num>
  <w:num w:numId="2" w16cid:durableId="1325008063">
    <w:abstractNumId w:val="3"/>
  </w:num>
  <w:num w:numId="3" w16cid:durableId="35014161">
    <w:abstractNumId w:val="14"/>
  </w:num>
  <w:num w:numId="4" w16cid:durableId="1915895512">
    <w:abstractNumId w:val="12"/>
  </w:num>
  <w:num w:numId="5" w16cid:durableId="663435067">
    <w:abstractNumId w:val="0"/>
  </w:num>
  <w:num w:numId="6" w16cid:durableId="2016420300">
    <w:abstractNumId w:val="6"/>
  </w:num>
  <w:num w:numId="7" w16cid:durableId="840390248">
    <w:abstractNumId w:val="9"/>
  </w:num>
  <w:num w:numId="8" w16cid:durableId="472449298">
    <w:abstractNumId w:val="7"/>
  </w:num>
  <w:num w:numId="9" w16cid:durableId="957184058">
    <w:abstractNumId w:val="8"/>
  </w:num>
  <w:num w:numId="10" w16cid:durableId="513151528">
    <w:abstractNumId w:val="13"/>
  </w:num>
  <w:num w:numId="11" w16cid:durableId="2017152339">
    <w:abstractNumId w:val="1"/>
  </w:num>
  <w:num w:numId="12" w16cid:durableId="942344844">
    <w:abstractNumId w:val="11"/>
  </w:num>
  <w:num w:numId="13" w16cid:durableId="467209121">
    <w:abstractNumId w:val="5"/>
  </w:num>
  <w:num w:numId="14" w16cid:durableId="466513024">
    <w:abstractNumId w:val="4"/>
  </w:num>
  <w:num w:numId="15" w16cid:durableId="85158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3AF4"/>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4921"/>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47E58"/>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KU1vrokovstChar">
    <w:name w:val="KU 1výroková část Char"/>
    <w:link w:val="KU1vrokovst"/>
    <w:locked/>
    <w:rsid w:val="00847E58"/>
    <w:rPr>
      <w:rFonts w:ascii="Tahoma" w:hAnsi="Tahoma" w:cs="Tahoma"/>
      <w:bCs/>
    </w:rPr>
  </w:style>
  <w:style w:type="paragraph" w:customStyle="1" w:styleId="KU1vrokovst">
    <w:name w:val="KU 1výroková část"/>
    <w:basedOn w:val="Normln"/>
    <w:link w:val="KU1vrokovstChar"/>
    <w:qFormat/>
    <w:rsid w:val="00847E58"/>
    <w:pPr>
      <w:spacing w:after="240"/>
      <w:jc w:val="both"/>
    </w:pPr>
    <w:rPr>
      <w:rFonts w:ascii="Tahoma" w:hAnsi="Tahoma" w:cs="Tahoma"/>
      <w:bCs/>
      <w:sz w:val="20"/>
      <w:szCs w:val="20"/>
      <w:lang w:eastAsia="cs-CZ"/>
    </w:rPr>
  </w:style>
  <w:style w:type="character" w:styleId="Hypertextovodkaz">
    <w:name w:val="Hyperlink"/>
    <w:unhideWhenUsed/>
    <w:rsid w:val="00847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1574</Words>
  <Characters>9292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2024-06-21T11:47:00Z</dcterms:created>
  <dcterms:modified xsi:type="dcterms:W3CDTF">2024-06-21T11:47:00Z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6535827</vt:i4>
  </property>
  <property fmtid="{D5CDD505-2E9C-101B-9397-08002B2CF9AE}" pid="5" name="UlozitJako">
    <vt:lpwstr>C:\Users\mrazkova\AppData\Local\Temp\iU47964112\Zastupitelstvo\2024-06-20\Navrhy\156-ZK-24.</vt:lpwstr>
  </property>
  <property fmtid="{D5CDD505-2E9C-101B-9397-08002B2CF9AE}" pid="6" name="Zpracovat">
    <vt:bool>false</vt:bool>
  </property>
</Properties>
</file>