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36A0F" w14:paraId="23747A38" w14:textId="77777777" w:rsidTr="008B6A42">
        <w:trPr>
          <w:trHeight w:hRule="exact" w:val="397"/>
        </w:trPr>
        <w:tc>
          <w:tcPr>
            <w:tcW w:w="2376" w:type="dxa"/>
            <w:hideMark/>
          </w:tcPr>
          <w:p w14:paraId="339CAFFC" w14:textId="77777777" w:rsidR="00736A0F" w:rsidRDefault="00736A0F" w:rsidP="00970720">
            <w:pPr>
              <w:pStyle w:val="KUJKtucny"/>
            </w:pPr>
            <w:r>
              <w:t>Datum jednání:</w:t>
            </w:r>
          </w:p>
        </w:tc>
        <w:tc>
          <w:tcPr>
            <w:tcW w:w="3828" w:type="dxa"/>
            <w:hideMark/>
          </w:tcPr>
          <w:p w14:paraId="1D183808" w14:textId="77777777" w:rsidR="00736A0F" w:rsidRDefault="00736A0F" w:rsidP="00970720">
            <w:pPr>
              <w:pStyle w:val="KUJKnormal"/>
            </w:pPr>
            <w:r>
              <w:t>20. 06. 2024</w:t>
            </w:r>
          </w:p>
        </w:tc>
        <w:tc>
          <w:tcPr>
            <w:tcW w:w="2126" w:type="dxa"/>
            <w:hideMark/>
          </w:tcPr>
          <w:p w14:paraId="452A4A72" w14:textId="77777777" w:rsidR="00736A0F" w:rsidRDefault="00736A0F" w:rsidP="00970720">
            <w:pPr>
              <w:pStyle w:val="KUJKtucny"/>
            </w:pPr>
            <w:r>
              <w:t>Bod programu:</w:t>
            </w:r>
          </w:p>
        </w:tc>
        <w:tc>
          <w:tcPr>
            <w:tcW w:w="850" w:type="dxa"/>
          </w:tcPr>
          <w:p w14:paraId="0276D275" w14:textId="77777777" w:rsidR="00736A0F" w:rsidRPr="00C452A8" w:rsidRDefault="00736A0F" w:rsidP="00970720">
            <w:pPr>
              <w:pStyle w:val="KUJKnormal"/>
              <w:rPr>
                <w:b/>
                <w:bCs/>
                <w:sz w:val="32"/>
                <w:szCs w:val="32"/>
              </w:rPr>
            </w:pPr>
            <w:r w:rsidRPr="00C452A8">
              <w:rPr>
                <w:b/>
                <w:bCs/>
                <w:sz w:val="32"/>
                <w:szCs w:val="32"/>
              </w:rPr>
              <w:t>77</w:t>
            </w:r>
          </w:p>
        </w:tc>
      </w:tr>
      <w:tr w:rsidR="00736A0F" w14:paraId="3FA639F7" w14:textId="77777777" w:rsidTr="008B6A42">
        <w:trPr>
          <w:cantSplit/>
          <w:trHeight w:hRule="exact" w:val="397"/>
        </w:trPr>
        <w:tc>
          <w:tcPr>
            <w:tcW w:w="2376" w:type="dxa"/>
            <w:hideMark/>
          </w:tcPr>
          <w:p w14:paraId="46817429" w14:textId="77777777" w:rsidR="00736A0F" w:rsidRDefault="00736A0F" w:rsidP="00970720">
            <w:pPr>
              <w:pStyle w:val="KUJKtucny"/>
            </w:pPr>
            <w:r>
              <w:t>Číslo návrhu:</w:t>
            </w:r>
          </w:p>
        </w:tc>
        <w:tc>
          <w:tcPr>
            <w:tcW w:w="6804" w:type="dxa"/>
            <w:gridSpan w:val="3"/>
            <w:hideMark/>
          </w:tcPr>
          <w:p w14:paraId="6F52341D" w14:textId="77777777" w:rsidR="00736A0F" w:rsidRDefault="00736A0F" w:rsidP="00970720">
            <w:pPr>
              <w:pStyle w:val="KUJKnormal"/>
            </w:pPr>
            <w:r>
              <w:t>147/ZK/24</w:t>
            </w:r>
          </w:p>
        </w:tc>
      </w:tr>
      <w:tr w:rsidR="00736A0F" w14:paraId="3ACCFF2D" w14:textId="77777777" w:rsidTr="008B6A42">
        <w:trPr>
          <w:trHeight w:val="397"/>
        </w:trPr>
        <w:tc>
          <w:tcPr>
            <w:tcW w:w="2376" w:type="dxa"/>
          </w:tcPr>
          <w:p w14:paraId="670A9544" w14:textId="77777777" w:rsidR="00736A0F" w:rsidRDefault="00736A0F" w:rsidP="00970720"/>
          <w:p w14:paraId="1C0D380F" w14:textId="77777777" w:rsidR="00736A0F" w:rsidRDefault="00736A0F" w:rsidP="00970720">
            <w:pPr>
              <w:pStyle w:val="KUJKtucny"/>
            </w:pPr>
            <w:r>
              <w:t>Název bodu:</w:t>
            </w:r>
          </w:p>
        </w:tc>
        <w:tc>
          <w:tcPr>
            <w:tcW w:w="6804" w:type="dxa"/>
            <w:gridSpan w:val="3"/>
          </w:tcPr>
          <w:p w14:paraId="422C4F92" w14:textId="77777777" w:rsidR="00736A0F" w:rsidRDefault="00736A0F" w:rsidP="00970720"/>
          <w:p w14:paraId="38F56FC1" w14:textId="77777777" w:rsidR="00736A0F" w:rsidRDefault="00736A0F" w:rsidP="00970720">
            <w:pPr>
              <w:pStyle w:val="KUJKtucny"/>
              <w:rPr>
                <w:sz w:val="22"/>
                <w:szCs w:val="22"/>
              </w:rPr>
            </w:pPr>
            <w:r>
              <w:rPr>
                <w:sz w:val="22"/>
                <w:szCs w:val="22"/>
              </w:rPr>
              <w:t>Realizace projektu Přeložka silnic II/156 a II/157, 6. etapa a jeho financování z rozpočtu Jihočeského kraje</w:t>
            </w:r>
          </w:p>
        </w:tc>
      </w:tr>
    </w:tbl>
    <w:p w14:paraId="656646CC" w14:textId="77777777" w:rsidR="00736A0F" w:rsidRDefault="00736A0F" w:rsidP="008B6A42">
      <w:pPr>
        <w:pStyle w:val="KUJKnormal"/>
        <w:rPr>
          <w:b/>
          <w:bCs/>
        </w:rPr>
      </w:pPr>
      <w:r>
        <w:rPr>
          <w:b/>
          <w:bCs/>
        </w:rPr>
        <w:pict w14:anchorId="5E9C7761">
          <v:rect id="_x0000_i1029" style="width:453.6pt;height:1.5pt" o:hralign="center" o:hrstd="t" o:hrnoshade="t" o:hr="t" fillcolor="black" stroked="f"/>
        </w:pict>
      </w:r>
    </w:p>
    <w:p w14:paraId="1FB6FE11" w14:textId="77777777" w:rsidR="00736A0F" w:rsidRDefault="00736A0F" w:rsidP="008B6A42">
      <w:pPr>
        <w:pStyle w:val="KUJKnormal"/>
      </w:pPr>
    </w:p>
    <w:p w14:paraId="4A3D929D" w14:textId="77777777" w:rsidR="00736A0F" w:rsidRDefault="00736A0F" w:rsidP="008B6A42"/>
    <w:tbl>
      <w:tblPr>
        <w:tblW w:w="0" w:type="auto"/>
        <w:tblCellMar>
          <w:left w:w="70" w:type="dxa"/>
          <w:right w:w="70" w:type="dxa"/>
        </w:tblCellMar>
        <w:tblLook w:val="04A0" w:firstRow="1" w:lastRow="0" w:firstColumn="1" w:lastColumn="0" w:noHBand="0" w:noVBand="1"/>
      </w:tblPr>
      <w:tblGrid>
        <w:gridCol w:w="2350"/>
        <w:gridCol w:w="6862"/>
      </w:tblGrid>
      <w:tr w:rsidR="00736A0F" w14:paraId="286627E0" w14:textId="77777777" w:rsidTr="002559B8">
        <w:trPr>
          <w:trHeight w:val="397"/>
        </w:trPr>
        <w:tc>
          <w:tcPr>
            <w:tcW w:w="2350" w:type="dxa"/>
            <w:hideMark/>
          </w:tcPr>
          <w:p w14:paraId="372E72F8" w14:textId="77777777" w:rsidR="00736A0F" w:rsidRDefault="00736A0F" w:rsidP="002559B8">
            <w:pPr>
              <w:pStyle w:val="KUJKtucny"/>
            </w:pPr>
            <w:r>
              <w:t>Předkladatel:</w:t>
            </w:r>
          </w:p>
        </w:tc>
        <w:tc>
          <w:tcPr>
            <w:tcW w:w="6862" w:type="dxa"/>
          </w:tcPr>
          <w:p w14:paraId="0BFD5715" w14:textId="77777777" w:rsidR="00736A0F" w:rsidRDefault="00736A0F" w:rsidP="002559B8">
            <w:pPr>
              <w:pStyle w:val="KUJKnormal"/>
            </w:pPr>
            <w:r>
              <w:t>Ing. Tomáš Hajdušek</w:t>
            </w:r>
          </w:p>
          <w:p w14:paraId="110282F2" w14:textId="77777777" w:rsidR="00736A0F" w:rsidRDefault="00736A0F" w:rsidP="002559B8"/>
        </w:tc>
      </w:tr>
      <w:tr w:rsidR="00736A0F" w14:paraId="2E5CC538" w14:textId="77777777" w:rsidTr="002559B8">
        <w:trPr>
          <w:trHeight w:val="397"/>
        </w:trPr>
        <w:tc>
          <w:tcPr>
            <w:tcW w:w="2350" w:type="dxa"/>
          </w:tcPr>
          <w:p w14:paraId="72148B6C" w14:textId="77777777" w:rsidR="00736A0F" w:rsidRDefault="00736A0F" w:rsidP="002559B8">
            <w:pPr>
              <w:pStyle w:val="KUJKtucny"/>
            </w:pPr>
            <w:r>
              <w:t>Zpracoval:</w:t>
            </w:r>
          </w:p>
          <w:p w14:paraId="1935A047" w14:textId="77777777" w:rsidR="00736A0F" w:rsidRDefault="00736A0F" w:rsidP="002559B8"/>
        </w:tc>
        <w:tc>
          <w:tcPr>
            <w:tcW w:w="6862" w:type="dxa"/>
            <w:hideMark/>
          </w:tcPr>
          <w:p w14:paraId="395288F4" w14:textId="77777777" w:rsidR="00736A0F" w:rsidRDefault="00736A0F" w:rsidP="002559B8">
            <w:pPr>
              <w:pStyle w:val="KUJKnormal"/>
            </w:pPr>
            <w:r>
              <w:t>ODSH</w:t>
            </w:r>
          </w:p>
        </w:tc>
      </w:tr>
      <w:tr w:rsidR="00736A0F" w14:paraId="5276B9E1" w14:textId="77777777" w:rsidTr="002559B8">
        <w:trPr>
          <w:trHeight w:val="397"/>
        </w:trPr>
        <w:tc>
          <w:tcPr>
            <w:tcW w:w="2350" w:type="dxa"/>
          </w:tcPr>
          <w:p w14:paraId="3806C13F" w14:textId="77777777" w:rsidR="00736A0F" w:rsidRPr="009715F9" w:rsidRDefault="00736A0F" w:rsidP="002559B8">
            <w:pPr>
              <w:pStyle w:val="KUJKnormal"/>
              <w:rPr>
                <w:b/>
              </w:rPr>
            </w:pPr>
            <w:r w:rsidRPr="009715F9">
              <w:rPr>
                <w:b/>
              </w:rPr>
              <w:t>Vedoucí odboru:</w:t>
            </w:r>
          </w:p>
          <w:p w14:paraId="763067CC" w14:textId="77777777" w:rsidR="00736A0F" w:rsidRDefault="00736A0F" w:rsidP="002559B8"/>
        </w:tc>
        <w:tc>
          <w:tcPr>
            <w:tcW w:w="6862" w:type="dxa"/>
            <w:hideMark/>
          </w:tcPr>
          <w:p w14:paraId="3A0AFC1D" w14:textId="77777777" w:rsidR="00736A0F" w:rsidRDefault="00736A0F" w:rsidP="002559B8">
            <w:pPr>
              <w:pStyle w:val="KUJKnormal"/>
            </w:pPr>
            <w:r>
              <w:t>JUDr. Andrea Tetourová</w:t>
            </w:r>
          </w:p>
        </w:tc>
      </w:tr>
    </w:tbl>
    <w:p w14:paraId="2FC5C24F" w14:textId="77777777" w:rsidR="00736A0F" w:rsidRDefault="00736A0F" w:rsidP="008B6A42">
      <w:pPr>
        <w:pStyle w:val="KUJKnormal"/>
      </w:pPr>
    </w:p>
    <w:p w14:paraId="50BC14CF" w14:textId="77777777" w:rsidR="00736A0F" w:rsidRPr="0052161F" w:rsidRDefault="00736A0F" w:rsidP="008B6A42">
      <w:pPr>
        <w:pStyle w:val="KUJKtucny"/>
      </w:pPr>
      <w:r w:rsidRPr="0052161F">
        <w:t>NÁVRH USNESENÍ</w:t>
      </w:r>
    </w:p>
    <w:p w14:paraId="5A77274F" w14:textId="77777777" w:rsidR="00736A0F" w:rsidRDefault="00736A0F" w:rsidP="008B6A42">
      <w:pPr>
        <w:pStyle w:val="KUJKnormal"/>
        <w:rPr>
          <w:rFonts w:ascii="Calibri" w:hAnsi="Calibri" w:cs="Calibri"/>
          <w:sz w:val="12"/>
          <w:szCs w:val="12"/>
        </w:rPr>
      </w:pPr>
      <w:bookmarkStart w:id="0" w:name="US_ZaVeVeci"/>
      <w:bookmarkEnd w:id="0"/>
    </w:p>
    <w:p w14:paraId="282BE0EF" w14:textId="77777777" w:rsidR="00736A0F" w:rsidRPr="00841DFC" w:rsidRDefault="00736A0F" w:rsidP="008B6A42">
      <w:pPr>
        <w:pStyle w:val="KUJKPolozka"/>
      </w:pPr>
      <w:r w:rsidRPr="00841DFC">
        <w:t>Zastupitelstvo Jihočeského kraje</w:t>
      </w:r>
    </w:p>
    <w:p w14:paraId="3661057E" w14:textId="77777777" w:rsidR="00736A0F" w:rsidRPr="00E10FE7" w:rsidRDefault="00736A0F" w:rsidP="002020DD">
      <w:pPr>
        <w:pStyle w:val="KUJKdoplnek2"/>
      </w:pPr>
      <w:r w:rsidRPr="00AF7BAE">
        <w:t>schvaluje</w:t>
      </w:r>
    </w:p>
    <w:p w14:paraId="431C965A" w14:textId="77777777" w:rsidR="00736A0F" w:rsidRDefault="00736A0F" w:rsidP="00736A0F">
      <w:pPr>
        <w:pStyle w:val="KUJKpolozka0"/>
        <w:numPr>
          <w:ilvl w:val="0"/>
          <w:numId w:val="11"/>
        </w:numPr>
        <w:jc w:val="both"/>
        <w:rPr>
          <w:b w:val="0"/>
          <w:bCs/>
        </w:rPr>
      </w:pPr>
      <w:r>
        <w:rPr>
          <w:b w:val="0"/>
        </w:rPr>
        <w:t xml:space="preserve">1. </w:t>
      </w:r>
      <w:r>
        <w:rPr>
          <w:b w:val="0"/>
          <w:bCs/>
        </w:rPr>
        <w:t>realizaci projektu Jihočeského kraje „Přeložka silnic II/156 a II/157 6. etapa“ a jeho financování z rozpočtu Jihočeského kraje“ a podání žádosti o podporu do průběžné 22. výzvy Priorita 3 specifického cíle 3.1 Integrovaného regionálního operačního programu 2021-2027 (dále jen IROP 2021-2027) s celkovými výdaji ve výši 190 710 562,61 Kč vč. DPH, z toho způsobilými výdaji ve výši 93 430 765,52 Kč vč. DPH,</w:t>
      </w:r>
    </w:p>
    <w:p w14:paraId="3AC0E3E5" w14:textId="77777777" w:rsidR="00736A0F" w:rsidRDefault="00736A0F" w:rsidP="00736A0F">
      <w:pPr>
        <w:pStyle w:val="KUJKpolozka0"/>
        <w:numPr>
          <w:ilvl w:val="0"/>
          <w:numId w:val="12"/>
        </w:numPr>
        <w:jc w:val="both"/>
        <w:rPr>
          <w:b w:val="0"/>
        </w:rPr>
      </w:pPr>
      <w:r>
        <w:rPr>
          <w:b w:val="0"/>
        </w:rPr>
        <w:t xml:space="preserve">2. kofinancování projektu ve výši 15 % ze způsobilých výdajů projektu, tj. 14 014 614,83 Kč vč. DPH, s podmínkou přidělení dotace z IROP 2021-2027 s čerpáním na základě Formuláře evropského projektu dle přílohy č. 1 návrhu č. 147/ZK/24, </w:t>
      </w:r>
    </w:p>
    <w:p w14:paraId="14F3A2EF" w14:textId="77777777" w:rsidR="00736A0F" w:rsidRDefault="00736A0F" w:rsidP="00736A0F">
      <w:pPr>
        <w:pStyle w:val="KUJKpolozka0"/>
        <w:numPr>
          <w:ilvl w:val="0"/>
          <w:numId w:val="12"/>
        </w:numPr>
        <w:jc w:val="both"/>
        <w:rPr>
          <w:b w:val="0"/>
        </w:rPr>
      </w:pPr>
      <w:r>
        <w:rPr>
          <w:b w:val="0"/>
        </w:rPr>
        <w:t>3. předfinancování projektu ve výši 85 % ze způsobilých výdajů projektu, tj. 79 416 150,69 Kč vč. DPH s podmínkou přidělení dotace z IROP 2021-2027 s čerpáním na základě Formuláře evropského projektu dle přílohy č. 1 návrhu č. 147/ZK/24,</w:t>
      </w:r>
    </w:p>
    <w:p w14:paraId="61BE5D06" w14:textId="77777777" w:rsidR="00736A0F" w:rsidRDefault="00736A0F" w:rsidP="00736A0F">
      <w:pPr>
        <w:pStyle w:val="KUJKpolozka0"/>
        <w:numPr>
          <w:ilvl w:val="0"/>
          <w:numId w:val="12"/>
        </w:numPr>
        <w:jc w:val="both"/>
        <w:rPr>
          <w:b w:val="0"/>
        </w:rPr>
      </w:pPr>
      <w:r>
        <w:rPr>
          <w:b w:val="0"/>
        </w:rPr>
        <w:t>4.</w:t>
      </w:r>
      <w:r>
        <w:rPr>
          <w:b w:val="0"/>
          <w:color w:val="FF0000"/>
        </w:rPr>
        <w:t xml:space="preserve"> </w:t>
      </w:r>
      <w:r>
        <w:rPr>
          <w:b w:val="0"/>
        </w:rPr>
        <w:t>financování nezpůsobilých výdajů projektu ve výši 97 279 797,09 Kč vč. DPH s čerpáním na základě Formuláře evropského projektu dle přílohy č. 1 návrhu č.147/ZK/24;</w:t>
      </w:r>
    </w:p>
    <w:p w14:paraId="5F03A3D7" w14:textId="77777777" w:rsidR="00736A0F" w:rsidRDefault="00736A0F" w:rsidP="00736A0F">
      <w:pPr>
        <w:pStyle w:val="KUJKdoplnek2"/>
        <w:numPr>
          <w:ilvl w:val="1"/>
          <w:numId w:val="13"/>
        </w:numPr>
      </w:pPr>
      <w:r w:rsidRPr="0021676C">
        <w:t>ukládá</w:t>
      </w:r>
    </w:p>
    <w:p w14:paraId="29B16831" w14:textId="77777777" w:rsidR="00736A0F" w:rsidRPr="002020DD" w:rsidRDefault="00736A0F" w:rsidP="00736A0F">
      <w:pPr>
        <w:pStyle w:val="KUJKPolozka"/>
        <w:numPr>
          <w:ilvl w:val="0"/>
          <w:numId w:val="13"/>
        </w:numPr>
        <w:tabs>
          <w:tab w:val="left" w:pos="708"/>
        </w:tabs>
        <w:rPr>
          <w:b w:val="0"/>
          <w:bCs/>
        </w:rPr>
      </w:pPr>
      <w:r w:rsidRPr="002020DD">
        <w:rPr>
          <w:b w:val="0"/>
          <w:bCs/>
        </w:rPr>
        <w:t>JUDr. Lukášovi Glaserovi, LL.M., řediteli krajského úřadu, zajistit realizaci uvedeného usnesení.</w:t>
      </w:r>
    </w:p>
    <w:p w14:paraId="15F6E7A9" w14:textId="77777777" w:rsidR="00736A0F" w:rsidRDefault="00736A0F" w:rsidP="002020DD">
      <w:pPr>
        <w:pStyle w:val="KUJKnormal"/>
        <w:rPr>
          <w:bCs/>
        </w:rPr>
      </w:pPr>
      <w:r>
        <w:rPr>
          <w:bCs/>
        </w:rPr>
        <w:t>T: 31.</w:t>
      </w:r>
      <w:r>
        <w:t>08</w:t>
      </w:r>
      <w:r>
        <w:rPr>
          <w:bCs/>
        </w:rPr>
        <w:t>.2025</w:t>
      </w:r>
    </w:p>
    <w:p w14:paraId="3C21F94A" w14:textId="77777777" w:rsidR="00736A0F" w:rsidRDefault="00736A0F" w:rsidP="008B6A42">
      <w:pPr>
        <w:pStyle w:val="KUJKnormal"/>
      </w:pPr>
    </w:p>
    <w:p w14:paraId="7E655CE0" w14:textId="77777777" w:rsidR="00736A0F" w:rsidRDefault="00736A0F" w:rsidP="002020DD">
      <w:pPr>
        <w:pStyle w:val="KUJKmezeraDZ"/>
      </w:pPr>
      <w:bookmarkStart w:id="1" w:name="US_DuvodZprava"/>
      <w:bookmarkEnd w:id="1"/>
    </w:p>
    <w:p w14:paraId="11A90B24" w14:textId="77777777" w:rsidR="00736A0F" w:rsidRDefault="00736A0F" w:rsidP="002020DD">
      <w:pPr>
        <w:pStyle w:val="KUJKnadpisDZ"/>
      </w:pPr>
      <w:r>
        <w:t>DŮVODOVÁ ZPRÁVA</w:t>
      </w:r>
    </w:p>
    <w:p w14:paraId="1D1D3108" w14:textId="77777777" w:rsidR="00736A0F" w:rsidRPr="009B7B0B" w:rsidRDefault="00736A0F" w:rsidP="002020DD">
      <w:pPr>
        <w:pStyle w:val="KUJKmezeraDZ"/>
      </w:pPr>
    </w:p>
    <w:p w14:paraId="03EEC84A" w14:textId="77777777" w:rsidR="00736A0F" w:rsidRDefault="00736A0F" w:rsidP="001739B2">
      <w:pPr>
        <w:pStyle w:val="KUJKnormal"/>
      </w:pPr>
      <w:r>
        <w:rPr>
          <w:rFonts w:eastAsia="Times New Roman"/>
        </w:rPr>
        <w:t>Jihočeský kraj prostřednictvím odboru ODSH předpokládá předložení projektové žádosti do 22. výzvy IROP 2021-2027 v měsíci červnu 2024.</w:t>
      </w:r>
    </w:p>
    <w:p w14:paraId="7A868430" w14:textId="77777777" w:rsidR="00736A0F" w:rsidRDefault="00736A0F" w:rsidP="001739B2">
      <w:pPr>
        <w:pStyle w:val="KUJKnormal"/>
        <w:rPr>
          <w:rFonts w:eastAsia="Times New Roman"/>
        </w:rPr>
      </w:pPr>
    </w:p>
    <w:p w14:paraId="158A2651" w14:textId="77777777" w:rsidR="00736A0F" w:rsidRDefault="00736A0F" w:rsidP="001739B2">
      <w:pPr>
        <w:jc w:val="both"/>
        <w:rPr>
          <w:rFonts w:ascii="Arial" w:hAnsi="Arial" w:cs="Arial"/>
          <w:bCs/>
          <w:sz w:val="20"/>
          <w:szCs w:val="20"/>
        </w:rPr>
      </w:pPr>
      <w:r>
        <w:rPr>
          <w:rFonts w:ascii="Arial" w:hAnsi="Arial"/>
          <w:sz w:val="20"/>
          <w:szCs w:val="28"/>
        </w:rPr>
        <w:t xml:space="preserve">Projekt představuje </w:t>
      </w:r>
      <w:r>
        <w:rPr>
          <w:rFonts w:ascii="Arial" w:hAnsi="Arial" w:cs="Arial"/>
          <w:bCs/>
          <w:sz w:val="20"/>
          <w:szCs w:val="20"/>
        </w:rPr>
        <w:t>dopravní stavbu Jihočeského kraje, jejímž předmětem je výstavba nové přeložky silnic II/156 a II/157 v Českých Budějovicích. V rámci projektu dojde ke zkapacitnění a úpravě křižovatky II/157 u ulice do Mladého a u rybníka. Stavba bude sloužit jako přivaděč na dálnici ve směru od obce Srubec. Nová přeložka odvede část silničního provozu z Ledenické ulice ve čtvrti Suché Vrbné. Dojde ke zvýšení bezpečnosti silničního provozu v této části krajského města a eliminaci zbytečného závleku dopravy od Srubce na dálnici D3 do Suchého Vrbného.</w:t>
      </w:r>
    </w:p>
    <w:p w14:paraId="6FECB515" w14:textId="77777777" w:rsidR="00736A0F" w:rsidRDefault="00736A0F" w:rsidP="001739B2">
      <w:pPr>
        <w:autoSpaceDE w:val="0"/>
        <w:autoSpaceDN w:val="0"/>
        <w:adjustRightInd w:val="0"/>
        <w:jc w:val="both"/>
        <w:rPr>
          <w:rFonts w:ascii="Verdana" w:hAnsi="Verdana" w:cs="Verdana"/>
          <w:sz w:val="18"/>
          <w:szCs w:val="18"/>
          <w:lang w:eastAsia="cs-CZ"/>
        </w:rPr>
      </w:pPr>
    </w:p>
    <w:p w14:paraId="66EBE7A7" w14:textId="77777777" w:rsidR="00736A0F" w:rsidRDefault="00736A0F" w:rsidP="001739B2">
      <w:pPr>
        <w:autoSpaceDE w:val="0"/>
        <w:autoSpaceDN w:val="0"/>
        <w:adjustRightInd w:val="0"/>
        <w:jc w:val="both"/>
        <w:rPr>
          <w:rFonts w:ascii="Arial" w:hAnsi="Arial" w:cs="Arial"/>
          <w:sz w:val="20"/>
          <w:szCs w:val="20"/>
          <w:lang w:eastAsia="cs-CZ"/>
        </w:rPr>
      </w:pPr>
      <w:r>
        <w:rPr>
          <w:rFonts w:ascii="Arial" w:hAnsi="Arial" w:cs="Arial"/>
          <w:sz w:val="20"/>
          <w:szCs w:val="20"/>
          <w:lang w:eastAsia="cs-CZ"/>
        </w:rPr>
        <w:t>Navrhovaná stavba je umístěna v koridoru dopravní infrastruktury označeného jako D43. Jedná se o vymezení koridoru dopravní infrastruktury nadmístního významu</w:t>
      </w:r>
      <w:r>
        <w:rPr>
          <w:rFonts w:ascii="Arial" w:hAnsi="Arial" w:cs="Arial"/>
          <w:b/>
          <w:bCs/>
          <w:sz w:val="20"/>
          <w:szCs w:val="20"/>
          <w:lang w:eastAsia="cs-CZ"/>
        </w:rPr>
        <w:t xml:space="preserve"> </w:t>
      </w:r>
      <w:r>
        <w:rPr>
          <w:rFonts w:ascii="Arial" w:hAnsi="Arial" w:cs="Arial"/>
          <w:sz w:val="20"/>
          <w:szCs w:val="20"/>
          <w:lang w:eastAsia="cs-CZ"/>
        </w:rPr>
        <w:t>(nové úseky silnic II. třídy, které tvoří páteřní síť dle „Koncepce optimalizace dopravní sítě na území Jihočeského kraje“, tedy silnice mající koncepční dopad do dopravní situace na území Jihočeského kraje a dálniční přivaděče, resp. novostavby přeložek silnic II. tříd mimo silně urbanizované části měst do nových tras za účelem jejich zkapacitnění odpovídajícímu přivedení dopravy v nových radiálách na dálnice).</w:t>
      </w:r>
    </w:p>
    <w:p w14:paraId="0322E9C8" w14:textId="77777777" w:rsidR="00736A0F" w:rsidRDefault="00736A0F" w:rsidP="001739B2">
      <w:pPr>
        <w:autoSpaceDE w:val="0"/>
        <w:autoSpaceDN w:val="0"/>
        <w:adjustRightInd w:val="0"/>
        <w:jc w:val="both"/>
        <w:rPr>
          <w:rFonts w:ascii="Arial" w:hAnsi="Arial" w:cs="Arial"/>
          <w:sz w:val="20"/>
          <w:szCs w:val="20"/>
          <w:lang w:eastAsia="cs-CZ"/>
        </w:rPr>
      </w:pPr>
    </w:p>
    <w:p w14:paraId="6D6F57A6" w14:textId="77777777" w:rsidR="00736A0F" w:rsidRDefault="00736A0F" w:rsidP="001739B2">
      <w:pPr>
        <w:pStyle w:val="KUJKmezeraDZ"/>
        <w:rPr>
          <w:sz w:val="20"/>
          <w:szCs w:val="20"/>
        </w:rPr>
      </w:pPr>
      <w:r>
        <w:rPr>
          <w:sz w:val="20"/>
          <w:szCs w:val="20"/>
        </w:rPr>
        <w:t>Přeložka silnice II/156 a II/157–6. etapa propojí v současné době realizovaný úsek dálnice D3 (Úsilné – Hodějovice, stavba 0310/I) se stávající silnicí II/157, ulicí Ledenickou ve Srubci. Účelem přeložky je převedení tranzitní dopravy ze stávající Ledenické ulice, kde se po plánovaném zprovoznění navazujícího úseku dálnice D3 očekává nárůst dopravní zátěže. Tento nárůst dopravy by na stávající Ledenické ulici vedené zastavěnou částí Srubce a Českých Budějovic měl značný negativní dopad na bezpečnost silničního provozu a negativním způsobem by byly ovlivněny i životní podmínky obyvatel. Realizací stavby dojde k poklesu akustické i exhalační zátěže v okolí stávající II/157. Stavba bude sloužit jako přivaděč osobní a tranzitní dopravy ve východní části Českých Budějovic k nově budované dálnici D3 a bude napojená na mimoúrovňovou křižovatku D3 Pohůrka. Současně se, v případě hlavní trasy, jedná o I. etapu pro navazující přeložku silnice II/157, obchvat Srubce. Srubecký dálniční přivaděč je navržený jako směrově nerozdělaná silnice kategorie S 7,5 pro návrhovou rychlost 50 km/h. V rámci realizace stavby dojde k úplné přestavbě stávající křižovatky Ledenické ulice, ulice Do Mladého a U Rybníka. Z důvodu přestavby této křižovatky dojde k přesunu kapličky a vybudování parčíku, v němž bude nově umístěna. Dále bude zdemolována dílna, která je ze stávající křižovatky přímo napojena. V uvolněném prostoru bude vybudována nová světelně řízená křižovatka, která bude na třech větvích doplněna o samostatné odbočovací pruhy. V rámci přestavby křižovatky dojde také k úpravě poloh zastávek a přechodů pro chodce. Podél trasy je navržena stezka pro pěší. Stavba vyvolává také řadu překládek sítí technické infrastruktury. Doba výstavby je plánována tak, aby mohl být tento přivaděč zprovozněn současně s dálnicí. V rámci realizace stavby bude vybudována provizorní komunikace, která umožní převedení dopravy po dobu výstavby křižovatky.</w:t>
      </w:r>
    </w:p>
    <w:p w14:paraId="63826BC6" w14:textId="77777777" w:rsidR="00736A0F" w:rsidRDefault="00736A0F" w:rsidP="001739B2">
      <w:pPr>
        <w:pStyle w:val="KUJKmezeraDZ"/>
        <w:rPr>
          <w:sz w:val="20"/>
          <w:szCs w:val="20"/>
        </w:rPr>
      </w:pPr>
    </w:p>
    <w:p w14:paraId="1D6D6E10" w14:textId="77777777" w:rsidR="00736A0F" w:rsidRDefault="00736A0F" w:rsidP="001739B2">
      <w:pPr>
        <w:pStyle w:val="KUJKmezeraDZ"/>
        <w:rPr>
          <w:b/>
          <w:bCs/>
          <w:sz w:val="20"/>
          <w:szCs w:val="20"/>
        </w:rPr>
      </w:pPr>
      <w:r>
        <w:rPr>
          <w:b/>
          <w:bCs/>
          <w:sz w:val="20"/>
          <w:szCs w:val="20"/>
        </w:rPr>
        <w:t>Stavba je v souladu se změnou č. 2 územního plánu obce Srubec.</w:t>
      </w:r>
    </w:p>
    <w:p w14:paraId="0A241B35" w14:textId="77777777" w:rsidR="00736A0F" w:rsidRDefault="00736A0F" w:rsidP="001739B2">
      <w:pPr>
        <w:jc w:val="both"/>
        <w:rPr>
          <w:rFonts w:ascii="Arial" w:hAnsi="Arial" w:cs="Arial"/>
          <w:sz w:val="20"/>
          <w:szCs w:val="20"/>
          <w:highlight w:val="yellow"/>
        </w:rPr>
      </w:pPr>
    </w:p>
    <w:p w14:paraId="263466FE" w14:textId="77777777" w:rsidR="00736A0F" w:rsidRDefault="00736A0F" w:rsidP="001739B2">
      <w:pPr>
        <w:pStyle w:val="Prosttext"/>
        <w:jc w:val="both"/>
        <w:rPr>
          <w:rFonts w:ascii="Arial" w:hAnsi="Arial" w:cs="Arial"/>
          <w:bCs/>
          <w:sz w:val="20"/>
          <w:szCs w:val="20"/>
        </w:rPr>
      </w:pPr>
      <w:r>
        <w:rPr>
          <w:rFonts w:ascii="Arial" w:hAnsi="Arial" w:cs="Arial"/>
          <w:bCs/>
          <w:sz w:val="20"/>
          <w:szCs w:val="20"/>
        </w:rPr>
        <w:t xml:space="preserve">Způsobilé výdaje projektu v celkové výši </w:t>
      </w:r>
      <w:r>
        <w:rPr>
          <w:rFonts w:ascii="Arial" w:hAnsi="Arial" w:cs="Arial"/>
          <w:b/>
          <w:sz w:val="20"/>
          <w:szCs w:val="20"/>
        </w:rPr>
        <w:t>93 430 765,52</w:t>
      </w:r>
      <w:r>
        <w:rPr>
          <w:b/>
        </w:rPr>
        <w:t xml:space="preserve"> </w:t>
      </w:r>
      <w:r>
        <w:rPr>
          <w:rFonts w:ascii="Arial" w:hAnsi="Arial" w:cs="Arial"/>
          <w:b/>
          <w:sz w:val="20"/>
          <w:szCs w:val="20"/>
        </w:rPr>
        <w:t>Kč s DPH</w:t>
      </w:r>
      <w:r>
        <w:rPr>
          <w:rFonts w:ascii="Arial" w:hAnsi="Arial" w:cs="Arial"/>
          <w:bCs/>
          <w:sz w:val="20"/>
          <w:szCs w:val="20"/>
        </w:rPr>
        <w:t xml:space="preserve"> představují částku za stavební práce z celkové ceny 102 815 072,45 Kč s DPH.</w:t>
      </w:r>
    </w:p>
    <w:p w14:paraId="435FF497" w14:textId="77777777" w:rsidR="00736A0F" w:rsidRDefault="00736A0F" w:rsidP="001739B2">
      <w:pPr>
        <w:pStyle w:val="Prosttext"/>
        <w:jc w:val="both"/>
        <w:rPr>
          <w:rFonts w:ascii="Arial" w:hAnsi="Arial" w:cs="Arial"/>
          <w:bCs/>
          <w:sz w:val="20"/>
          <w:szCs w:val="20"/>
        </w:rPr>
      </w:pPr>
    </w:p>
    <w:p w14:paraId="53372849" w14:textId="77777777" w:rsidR="00736A0F" w:rsidRDefault="00736A0F" w:rsidP="001739B2">
      <w:pPr>
        <w:pStyle w:val="Prosttext"/>
        <w:jc w:val="both"/>
        <w:rPr>
          <w:rFonts w:ascii="Arial" w:hAnsi="Arial" w:cs="Arial"/>
          <w:bCs/>
          <w:sz w:val="20"/>
          <w:szCs w:val="20"/>
        </w:rPr>
      </w:pPr>
      <w:r>
        <w:rPr>
          <w:rFonts w:ascii="Arial" w:hAnsi="Arial" w:cs="Arial"/>
          <w:bCs/>
          <w:sz w:val="20"/>
          <w:szCs w:val="20"/>
        </w:rPr>
        <w:t xml:space="preserve">Nezpůsobilé výdaje v celkové výši </w:t>
      </w:r>
      <w:r>
        <w:rPr>
          <w:rFonts w:ascii="Arial" w:hAnsi="Arial" w:cs="Arial"/>
          <w:b/>
          <w:sz w:val="20"/>
          <w:szCs w:val="20"/>
        </w:rPr>
        <w:t>97 279 797,09 Kč s DPH</w:t>
      </w:r>
      <w:r>
        <w:rPr>
          <w:rFonts w:ascii="Arial" w:hAnsi="Arial" w:cs="Arial"/>
          <w:bCs/>
          <w:sz w:val="20"/>
          <w:szCs w:val="20"/>
        </w:rPr>
        <w:t xml:space="preserve"> představují částku za stavební práce ve výši </w:t>
      </w:r>
      <w:r>
        <w:rPr>
          <w:rFonts w:ascii="Arial" w:hAnsi="Arial" w:cs="Arial"/>
          <w:b/>
          <w:i/>
          <w:iCs/>
          <w:sz w:val="20"/>
          <w:szCs w:val="20"/>
        </w:rPr>
        <w:t>9 384 306,93</w:t>
      </w:r>
      <w:r>
        <w:rPr>
          <w:rFonts w:ascii="Arial" w:hAnsi="Arial" w:cs="Arial"/>
          <w:bCs/>
          <w:sz w:val="20"/>
          <w:szCs w:val="20"/>
        </w:rPr>
        <w:t xml:space="preserve"> Kč vč. DPH, dále částky za možné vícepráce ve výši </w:t>
      </w:r>
      <w:r>
        <w:rPr>
          <w:rFonts w:ascii="Arial" w:hAnsi="Arial" w:cs="Arial"/>
          <w:b/>
          <w:i/>
          <w:iCs/>
          <w:sz w:val="20"/>
          <w:szCs w:val="20"/>
        </w:rPr>
        <w:t>12 000 000,00</w:t>
      </w:r>
      <w:r>
        <w:rPr>
          <w:rFonts w:ascii="Arial" w:hAnsi="Arial" w:cs="Arial"/>
          <w:bCs/>
          <w:sz w:val="20"/>
          <w:szCs w:val="20"/>
        </w:rPr>
        <w:t xml:space="preserve"> Kč s DPH, částku za bonus za zkrácení doby realizace díla ve výši </w:t>
      </w:r>
      <w:r>
        <w:rPr>
          <w:rFonts w:ascii="Arial" w:hAnsi="Arial" w:cs="Arial"/>
          <w:b/>
          <w:i/>
          <w:iCs/>
          <w:sz w:val="20"/>
          <w:szCs w:val="20"/>
        </w:rPr>
        <w:t>3 000 000,00</w:t>
      </w:r>
      <w:r>
        <w:rPr>
          <w:rFonts w:ascii="Arial" w:hAnsi="Arial" w:cs="Arial"/>
          <w:bCs/>
          <w:sz w:val="20"/>
          <w:szCs w:val="20"/>
        </w:rPr>
        <w:t xml:space="preserve"> Kč s DPH, částku za archeologický dozor ve výši </w:t>
      </w:r>
      <w:r>
        <w:rPr>
          <w:rFonts w:ascii="Arial" w:hAnsi="Arial" w:cs="Arial"/>
          <w:b/>
          <w:i/>
          <w:iCs/>
          <w:sz w:val="20"/>
          <w:szCs w:val="20"/>
        </w:rPr>
        <w:t>36 663,00</w:t>
      </w:r>
      <w:r>
        <w:rPr>
          <w:rFonts w:ascii="Arial" w:hAnsi="Arial" w:cs="Arial"/>
          <w:bCs/>
          <w:sz w:val="20"/>
          <w:szCs w:val="20"/>
        </w:rPr>
        <w:t xml:space="preserve"> Kč s DPH, částku za projektové dokumentace včetně autorského dozoru projektanta ve výši </w:t>
      </w:r>
      <w:r>
        <w:rPr>
          <w:rFonts w:ascii="Arial" w:hAnsi="Arial" w:cs="Arial"/>
          <w:b/>
          <w:i/>
          <w:iCs/>
          <w:sz w:val="20"/>
          <w:szCs w:val="20"/>
        </w:rPr>
        <w:t>7 962 284,00</w:t>
      </w:r>
      <w:r>
        <w:rPr>
          <w:rFonts w:ascii="Arial" w:hAnsi="Arial" w:cs="Arial"/>
          <w:bCs/>
          <w:sz w:val="20"/>
          <w:szCs w:val="20"/>
        </w:rPr>
        <w:t xml:space="preserve"> Kč s DPH, částku za geotechnický průzkum ve výši </w:t>
      </w:r>
      <w:r>
        <w:rPr>
          <w:rFonts w:ascii="Arial" w:hAnsi="Arial" w:cs="Arial"/>
          <w:b/>
          <w:i/>
          <w:iCs/>
          <w:sz w:val="20"/>
          <w:szCs w:val="20"/>
        </w:rPr>
        <w:t>1 391 413,00</w:t>
      </w:r>
      <w:r>
        <w:rPr>
          <w:rFonts w:ascii="Arial" w:hAnsi="Arial" w:cs="Arial"/>
          <w:bCs/>
          <w:sz w:val="20"/>
          <w:szCs w:val="20"/>
        </w:rPr>
        <w:t xml:space="preserve"> Kč s DPH, částku za znalecké posudky a vypracování geometrických plánů ve výši </w:t>
      </w:r>
      <w:r>
        <w:rPr>
          <w:rFonts w:ascii="Arial" w:hAnsi="Arial" w:cs="Arial"/>
          <w:b/>
          <w:i/>
          <w:iCs/>
          <w:sz w:val="20"/>
          <w:szCs w:val="20"/>
        </w:rPr>
        <w:t>267 670,00</w:t>
      </w:r>
      <w:r>
        <w:rPr>
          <w:rFonts w:ascii="Arial" w:hAnsi="Arial" w:cs="Arial"/>
          <w:bCs/>
          <w:sz w:val="20"/>
          <w:szCs w:val="20"/>
        </w:rPr>
        <w:t xml:space="preserve"> Kč s DPH, částky za vytýčení stromů včetně kácení ve výši </w:t>
      </w:r>
      <w:r>
        <w:rPr>
          <w:rFonts w:ascii="Arial" w:hAnsi="Arial" w:cs="Arial"/>
          <w:b/>
          <w:i/>
          <w:iCs/>
          <w:sz w:val="20"/>
          <w:szCs w:val="20"/>
        </w:rPr>
        <w:t>147 857,16</w:t>
      </w:r>
      <w:r>
        <w:rPr>
          <w:rFonts w:ascii="Arial" w:hAnsi="Arial" w:cs="Arial"/>
          <w:bCs/>
          <w:sz w:val="20"/>
          <w:szCs w:val="20"/>
        </w:rPr>
        <w:t xml:space="preserve"> Kč s DPH, částku za správní poplatky ve výši </w:t>
      </w:r>
      <w:r>
        <w:rPr>
          <w:rFonts w:ascii="Arial" w:hAnsi="Arial" w:cs="Arial"/>
          <w:b/>
          <w:i/>
          <w:iCs/>
          <w:sz w:val="20"/>
          <w:szCs w:val="20"/>
        </w:rPr>
        <w:t>3 000,00</w:t>
      </w:r>
      <w:r>
        <w:rPr>
          <w:rFonts w:ascii="Arial" w:hAnsi="Arial" w:cs="Arial"/>
          <w:bCs/>
          <w:sz w:val="20"/>
          <w:szCs w:val="20"/>
        </w:rPr>
        <w:t xml:space="preserve"> Kč vč. DPH, částku za nájmy za dočasné zábory pozemků ve výši </w:t>
      </w:r>
      <w:r>
        <w:rPr>
          <w:rFonts w:ascii="Arial" w:hAnsi="Arial" w:cs="Arial"/>
          <w:b/>
          <w:i/>
          <w:iCs/>
          <w:sz w:val="20"/>
          <w:szCs w:val="20"/>
        </w:rPr>
        <w:t>250 000,00</w:t>
      </w:r>
      <w:r>
        <w:rPr>
          <w:rFonts w:ascii="Arial" w:hAnsi="Arial" w:cs="Arial"/>
          <w:bCs/>
          <w:sz w:val="20"/>
          <w:szCs w:val="20"/>
        </w:rPr>
        <w:t xml:space="preserve"> Kč s DPH, částku za výkupy pozemků ve výši </w:t>
      </w:r>
      <w:r>
        <w:rPr>
          <w:rFonts w:ascii="Arial" w:hAnsi="Arial" w:cs="Arial"/>
          <w:b/>
          <w:i/>
          <w:iCs/>
          <w:sz w:val="20"/>
          <w:szCs w:val="20"/>
        </w:rPr>
        <w:t>48 319 550,00</w:t>
      </w:r>
      <w:r>
        <w:rPr>
          <w:rFonts w:ascii="Arial" w:hAnsi="Arial" w:cs="Arial"/>
          <w:bCs/>
          <w:sz w:val="20"/>
          <w:szCs w:val="20"/>
        </w:rPr>
        <w:t xml:space="preserve"> Kč s DPH, částku za výkon technického dozoru stavebníka ve výši </w:t>
      </w:r>
    </w:p>
    <w:p w14:paraId="061153C9" w14:textId="77777777" w:rsidR="00736A0F" w:rsidRDefault="00736A0F" w:rsidP="001739B2">
      <w:pPr>
        <w:pStyle w:val="Prosttext"/>
        <w:jc w:val="both"/>
        <w:rPr>
          <w:rFonts w:ascii="Arial" w:hAnsi="Arial" w:cs="Arial"/>
          <w:bCs/>
          <w:sz w:val="20"/>
          <w:szCs w:val="20"/>
        </w:rPr>
      </w:pPr>
      <w:r>
        <w:rPr>
          <w:rFonts w:ascii="Arial" w:hAnsi="Arial" w:cs="Arial"/>
          <w:b/>
          <w:i/>
          <w:iCs/>
          <w:sz w:val="20"/>
          <w:szCs w:val="20"/>
        </w:rPr>
        <w:t>764 720,00</w:t>
      </w:r>
      <w:r>
        <w:rPr>
          <w:rFonts w:ascii="Arial" w:hAnsi="Arial" w:cs="Arial"/>
          <w:bCs/>
          <w:sz w:val="20"/>
          <w:szCs w:val="20"/>
        </w:rPr>
        <w:t xml:space="preserve"> Kč s DPH, částku za koordinátora BOZP ve výši </w:t>
      </w:r>
      <w:r>
        <w:rPr>
          <w:rFonts w:ascii="Arial" w:hAnsi="Arial" w:cs="Arial"/>
          <w:b/>
          <w:i/>
          <w:iCs/>
          <w:sz w:val="20"/>
          <w:szCs w:val="20"/>
        </w:rPr>
        <w:t>112 535,00</w:t>
      </w:r>
      <w:r>
        <w:rPr>
          <w:rFonts w:ascii="Arial" w:hAnsi="Arial" w:cs="Arial"/>
          <w:bCs/>
          <w:sz w:val="20"/>
          <w:szCs w:val="20"/>
        </w:rPr>
        <w:t xml:space="preserve"> Kč vč. DPH, částku za klimatický audit ve výši  </w:t>
      </w:r>
      <w:r>
        <w:rPr>
          <w:rFonts w:ascii="Arial" w:hAnsi="Arial" w:cs="Arial"/>
          <w:b/>
          <w:i/>
          <w:iCs/>
          <w:sz w:val="20"/>
          <w:szCs w:val="20"/>
        </w:rPr>
        <w:t>87 120,00</w:t>
      </w:r>
      <w:r>
        <w:rPr>
          <w:rFonts w:ascii="Arial" w:hAnsi="Arial" w:cs="Arial"/>
          <w:bCs/>
          <w:sz w:val="20"/>
          <w:szCs w:val="20"/>
        </w:rPr>
        <w:t xml:space="preserve"> Kč s DPH, částku za zpracovatele žádosti včetně studie proveditelnosti ve výši </w:t>
      </w:r>
    </w:p>
    <w:p w14:paraId="61C802A3" w14:textId="77777777" w:rsidR="00736A0F" w:rsidRDefault="00736A0F" w:rsidP="001739B2">
      <w:pPr>
        <w:pStyle w:val="Prosttext"/>
        <w:jc w:val="both"/>
        <w:rPr>
          <w:rFonts w:ascii="Arial" w:hAnsi="Arial" w:cs="Arial"/>
          <w:bCs/>
          <w:sz w:val="20"/>
          <w:szCs w:val="20"/>
        </w:rPr>
      </w:pPr>
      <w:r>
        <w:rPr>
          <w:rFonts w:ascii="Arial" w:hAnsi="Arial" w:cs="Arial"/>
          <w:b/>
          <w:i/>
          <w:iCs/>
          <w:sz w:val="20"/>
          <w:szCs w:val="20"/>
        </w:rPr>
        <w:t>114 950,00</w:t>
      </w:r>
      <w:r>
        <w:rPr>
          <w:rFonts w:ascii="Arial" w:hAnsi="Arial" w:cs="Arial"/>
          <w:bCs/>
          <w:sz w:val="20"/>
          <w:szCs w:val="20"/>
        </w:rPr>
        <w:t xml:space="preserve"> Kč s DPH /neinvestiční výdaj projektu/, částku za bezpečnostní audit v rámci PD ve výši </w:t>
      </w:r>
      <w:r>
        <w:rPr>
          <w:rFonts w:ascii="Arial" w:hAnsi="Arial" w:cs="Arial"/>
          <w:b/>
          <w:i/>
          <w:iCs/>
          <w:sz w:val="20"/>
          <w:szCs w:val="20"/>
        </w:rPr>
        <w:t>54 450,00</w:t>
      </w:r>
      <w:r>
        <w:rPr>
          <w:rFonts w:ascii="Arial" w:hAnsi="Arial" w:cs="Arial"/>
          <w:bCs/>
          <w:sz w:val="20"/>
          <w:szCs w:val="20"/>
        </w:rPr>
        <w:t xml:space="preserve"> Kč s DPH, částku za překládku inženýrské sítě společnosti Cetin ve výši </w:t>
      </w:r>
      <w:r>
        <w:rPr>
          <w:rFonts w:ascii="Arial" w:hAnsi="Arial" w:cs="Arial"/>
          <w:b/>
          <w:i/>
          <w:iCs/>
          <w:sz w:val="20"/>
          <w:szCs w:val="20"/>
        </w:rPr>
        <w:t>1 757 011,00</w:t>
      </w:r>
      <w:r>
        <w:rPr>
          <w:rFonts w:ascii="Arial" w:hAnsi="Arial" w:cs="Arial"/>
          <w:bCs/>
          <w:sz w:val="20"/>
          <w:szCs w:val="20"/>
        </w:rPr>
        <w:t xml:space="preserve"> Kč s DPH, částku za překládky inženýrských sítí společnosti EG.D ve výši </w:t>
      </w:r>
      <w:r>
        <w:rPr>
          <w:rFonts w:ascii="Arial" w:hAnsi="Arial" w:cs="Arial"/>
          <w:b/>
          <w:i/>
          <w:iCs/>
          <w:sz w:val="20"/>
          <w:szCs w:val="20"/>
        </w:rPr>
        <w:t>10 463 367,00</w:t>
      </w:r>
      <w:r>
        <w:rPr>
          <w:rFonts w:ascii="Arial" w:hAnsi="Arial" w:cs="Arial"/>
          <w:bCs/>
          <w:sz w:val="20"/>
          <w:szCs w:val="20"/>
        </w:rPr>
        <w:t xml:space="preserve"> Kč s DPH a částku za refundace SUS JK ve výši </w:t>
      </w:r>
      <w:r>
        <w:rPr>
          <w:rFonts w:ascii="Arial" w:hAnsi="Arial" w:cs="Arial"/>
          <w:b/>
          <w:i/>
          <w:iCs/>
          <w:sz w:val="20"/>
          <w:szCs w:val="20"/>
        </w:rPr>
        <w:t>1 162 900,00</w:t>
      </w:r>
      <w:r>
        <w:rPr>
          <w:rFonts w:ascii="Arial" w:hAnsi="Arial" w:cs="Arial"/>
          <w:bCs/>
          <w:sz w:val="20"/>
          <w:szCs w:val="20"/>
        </w:rPr>
        <w:t xml:space="preserve"> Kč s DPH.</w:t>
      </w:r>
    </w:p>
    <w:p w14:paraId="5119FF08" w14:textId="77777777" w:rsidR="00736A0F" w:rsidRDefault="00736A0F" w:rsidP="001739B2">
      <w:pPr>
        <w:pStyle w:val="Prosttext"/>
        <w:jc w:val="both"/>
        <w:rPr>
          <w:rFonts w:ascii="Arial" w:hAnsi="Arial" w:cs="Arial"/>
          <w:b/>
          <w:sz w:val="20"/>
          <w:szCs w:val="20"/>
        </w:rPr>
      </w:pPr>
    </w:p>
    <w:p w14:paraId="6D59AB3F" w14:textId="77777777" w:rsidR="00736A0F" w:rsidRDefault="00736A0F" w:rsidP="001739B2">
      <w:pPr>
        <w:pStyle w:val="Prosttext"/>
        <w:jc w:val="both"/>
        <w:rPr>
          <w:rFonts w:ascii="Arial" w:hAnsi="Arial" w:cs="Arial"/>
          <w:bCs/>
          <w:sz w:val="20"/>
          <w:szCs w:val="20"/>
        </w:rPr>
      </w:pPr>
      <w:r>
        <w:rPr>
          <w:rFonts w:ascii="Arial" w:hAnsi="Arial" w:cs="Arial"/>
          <w:b/>
          <w:sz w:val="20"/>
          <w:szCs w:val="20"/>
        </w:rPr>
        <w:t xml:space="preserve">Všechny částky za výše uvedené výdaje jsou částkami skutečnými mimo odhadovaných částek za možné vícepráce a za bonus zkrácení doby realizace díla. </w:t>
      </w:r>
    </w:p>
    <w:p w14:paraId="240B8BD2" w14:textId="77777777" w:rsidR="00736A0F" w:rsidRDefault="00736A0F" w:rsidP="001739B2">
      <w:pPr>
        <w:pStyle w:val="KUJKnormal"/>
      </w:pPr>
    </w:p>
    <w:p w14:paraId="69FFBB8C" w14:textId="77777777" w:rsidR="00736A0F" w:rsidRDefault="00736A0F" w:rsidP="001739B2">
      <w:pPr>
        <w:pStyle w:val="KUJKnormal"/>
      </w:pPr>
      <w:r>
        <w:t>Obsah toto materiálu byl projednán v radě kraje dne 6.6.2024 pod č. usnesení 720/2024/RK-91.</w:t>
      </w:r>
    </w:p>
    <w:p w14:paraId="12CAD5E9" w14:textId="77777777" w:rsidR="00736A0F" w:rsidRDefault="00736A0F" w:rsidP="008B6A42">
      <w:pPr>
        <w:pStyle w:val="KUJKnormal"/>
      </w:pPr>
    </w:p>
    <w:p w14:paraId="0A7CFC47" w14:textId="77777777" w:rsidR="00736A0F" w:rsidRDefault="00736A0F" w:rsidP="008B6A42">
      <w:pPr>
        <w:pStyle w:val="KUJKnormal"/>
      </w:pPr>
    </w:p>
    <w:p w14:paraId="77E6DED8" w14:textId="77777777" w:rsidR="00736A0F" w:rsidRDefault="00736A0F" w:rsidP="008B6A42">
      <w:pPr>
        <w:pStyle w:val="KUJKnormal"/>
      </w:pPr>
      <w:r>
        <w:t>Finanční nároky a krytí:</w:t>
      </w:r>
    </w:p>
    <w:p w14:paraId="6F00075E" w14:textId="77777777" w:rsidR="00736A0F" w:rsidRDefault="00736A0F" w:rsidP="001739B2">
      <w:pPr>
        <w:pStyle w:val="KUJKnormal"/>
        <w:rPr>
          <w:szCs w:val="20"/>
        </w:rPr>
      </w:pPr>
      <w:r>
        <w:t xml:space="preserve">Celkové výdaje projektu činí </w:t>
      </w:r>
      <w:r>
        <w:rPr>
          <w:b/>
          <w:bCs/>
        </w:rPr>
        <w:t xml:space="preserve">190 710 562,61 </w:t>
      </w:r>
      <w:r>
        <w:t xml:space="preserve">Kč, z toho: </w:t>
      </w:r>
    </w:p>
    <w:p w14:paraId="6F278793" w14:textId="77777777" w:rsidR="00736A0F" w:rsidRDefault="00736A0F" w:rsidP="001739B2">
      <w:pPr>
        <w:pStyle w:val="KUJKnormal"/>
      </w:pPr>
      <w:r>
        <w:t xml:space="preserve">- částka způsobilých výdajů ve výši </w:t>
      </w:r>
      <w:r>
        <w:rPr>
          <w:b/>
          <w:bCs/>
        </w:rPr>
        <w:t xml:space="preserve">93 430 765,52 </w:t>
      </w:r>
      <w:r>
        <w:t>Kč, z toho:</w:t>
      </w:r>
    </w:p>
    <w:p w14:paraId="5A88F7EE" w14:textId="77777777" w:rsidR="00736A0F" w:rsidRDefault="00736A0F" w:rsidP="001739B2">
      <w:pPr>
        <w:pStyle w:val="KUJKnormal"/>
      </w:pPr>
      <w:r>
        <w:t xml:space="preserve">  - 15% kofinancování </w:t>
      </w:r>
      <w:r>
        <w:rPr>
          <w:b/>
          <w:bCs/>
        </w:rPr>
        <w:t xml:space="preserve">14 014 614,83 </w:t>
      </w:r>
      <w:r>
        <w:t>Kč,</w:t>
      </w:r>
    </w:p>
    <w:p w14:paraId="539C4418" w14:textId="77777777" w:rsidR="00736A0F" w:rsidRDefault="00736A0F" w:rsidP="001739B2">
      <w:pPr>
        <w:pStyle w:val="KUJKnormal"/>
      </w:pPr>
      <w:r>
        <w:t xml:space="preserve">  - 85% předfinancování </w:t>
      </w:r>
      <w:r>
        <w:rPr>
          <w:b/>
          <w:bCs/>
        </w:rPr>
        <w:t>79 416 150,69</w:t>
      </w:r>
      <w:r>
        <w:t xml:space="preserve"> Kč,</w:t>
      </w:r>
    </w:p>
    <w:p w14:paraId="2CED365E" w14:textId="77777777" w:rsidR="00736A0F" w:rsidRDefault="00736A0F" w:rsidP="001739B2">
      <w:pPr>
        <w:pStyle w:val="KUJKnormal"/>
      </w:pPr>
      <w:r>
        <w:t xml:space="preserve">- částka nezpůsobilých výdajů ve výši </w:t>
      </w:r>
      <w:r>
        <w:rPr>
          <w:b/>
          <w:bCs/>
        </w:rPr>
        <w:t xml:space="preserve">97 279 797,09 </w:t>
      </w:r>
      <w:r>
        <w:t xml:space="preserve">Kč.  </w:t>
      </w:r>
    </w:p>
    <w:p w14:paraId="234B9256" w14:textId="77777777" w:rsidR="00736A0F" w:rsidRDefault="00736A0F" w:rsidP="001739B2">
      <w:pPr>
        <w:pStyle w:val="KUJKnormal"/>
      </w:pPr>
      <w:r>
        <w:t>V rozpočtu ODSH je na akci v r. 2024 alokováno celkem 151,211 mil. Kč (§2212, pol. 6121/6351/5169, ORJ 1051/1057, ORG 9114397xxxxxx/9114324000000). Rozdíl oproti požadavku financování na r. 2024 ve výši 16,48 mil. Kč bude nutno zajistit přesunem např. z úspor z VŘ formou RO, kdy součástí tohoto RO bude i rozdělení dle správné rozpočtové skladby (přidělení ORG akce, rozdělení dle způsobilosti výdajů dle předloženého FEP). Financování v r. 2025 bude součástí návrhu rozpočtu ODSH, resp. ORJ 20, na r. 2025.</w:t>
      </w:r>
    </w:p>
    <w:p w14:paraId="2539AD15" w14:textId="77777777" w:rsidR="00736A0F" w:rsidRDefault="00736A0F" w:rsidP="008B6A42">
      <w:pPr>
        <w:pStyle w:val="KUJKnormal"/>
      </w:pPr>
    </w:p>
    <w:p w14:paraId="30B1CF2E" w14:textId="77777777" w:rsidR="00736A0F" w:rsidRDefault="00736A0F" w:rsidP="008B6A42">
      <w:pPr>
        <w:pStyle w:val="KUJKnormal"/>
      </w:pPr>
    </w:p>
    <w:p w14:paraId="3065D54E" w14:textId="77777777" w:rsidR="00736A0F" w:rsidRDefault="00736A0F" w:rsidP="008B6A42">
      <w:pPr>
        <w:pStyle w:val="KUJKnormal"/>
      </w:pPr>
      <w:r>
        <w:t>Vyjádření správce rozpočtu:</w:t>
      </w:r>
    </w:p>
    <w:p w14:paraId="4DB4D0A6" w14:textId="77777777" w:rsidR="00736A0F" w:rsidRDefault="00736A0F" w:rsidP="005C0954">
      <w:pPr>
        <w:pStyle w:val="KUJKnormal"/>
      </w:pPr>
      <w:r>
        <w:t>Ing. Michaela Kleinová Pešková (OEKO):</w:t>
      </w:r>
      <w:r w:rsidRPr="007666AA">
        <w:t xml:space="preserve"> </w:t>
      </w:r>
      <w:r>
        <w:t xml:space="preserve"> Souhlasím</w:t>
      </w:r>
      <w:r w:rsidRPr="007666AA">
        <w:t xml:space="preserve"> - </w:t>
      </w:r>
      <w:r>
        <w:t xml:space="preserve"> Souhlasím, bude nutné připravit rozpočtové opatření na přesun prostředků na ORG projektu.</w:t>
      </w:r>
    </w:p>
    <w:p w14:paraId="2CB55CCD" w14:textId="77777777" w:rsidR="00736A0F" w:rsidRDefault="00736A0F" w:rsidP="008B6A42">
      <w:pPr>
        <w:pStyle w:val="KUJKnormal"/>
      </w:pPr>
    </w:p>
    <w:p w14:paraId="44B5FEE9" w14:textId="77777777" w:rsidR="00736A0F" w:rsidRDefault="00736A0F" w:rsidP="008B6A42">
      <w:pPr>
        <w:pStyle w:val="KUJKnormal"/>
      </w:pPr>
    </w:p>
    <w:p w14:paraId="150113B4" w14:textId="77777777" w:rsidR="00736A0F" w:rsidRDefault="00736A0F" w:rsidP="008B6A42">
      <w:pPr>
        <w:pStyle w:val="KUJKnormal"/>
      </w:pPr>
      <w:r>
        <w:t>Návrh projednán (stanoviska): nevyžadují se</w:t>
      </w:r>
    </w:p>
    <w:p w14:paraId="655D98CF" w14:textId="77777777" w:rsidR="00736A0F" w:rsidRDefault="00736A0F" w:rsidP="008B6A42">
      <w:pPr>
        <w:pStyle w:val="KUJKnormal"/>
      </w:pPr>
    </w:p>
    <w:p w14:paraId="52BC34C9" w14:textId="77777777" w:rsidR="00736A0F" w:rsidRDefault="00736A0F" w:rsidP="008B6A42">
      <w:pPr>
        <w:pStyle w:val="KUJKnormal"/>
      </w:pPr>
    </w:p>
    <w:p w14:paraId="1941D8F7" w14:textId="77777777" w:rsidR="00736A0F" w:rsidRPr="007939A8" w:rsidRDefault="00736A0F" w:rsidP="008B6A42">
      <w:pPr>
        <w:pStyle w:val="KUJKtucny"/>
      </w:pPr>
      <w:r w:rsidRPr="007939A8">
        <w:t>PŘÍLOHY:</w:t>
      </w:r>
    </w:p>
    <w:p w14:paraId="0E2D3C52" w14:textId="77777777" w:rsidR="00736A0F" w:rsidRPr="00B52AA9" w:rsidRDefault="00736A0F" w:rsidP="001739B2">
      <w:pPr>
        <w:pStyle w:val="KUJKcislovany"/>
      </w:pPr>
      <w:r>
        <w:t>Formulář evropského projektu</w:t>
      </w:r>
      <w:r w:rsidRPr="0081756D">
        <w:t xml:space="preserve"> (</w:t>
      </w:r>
      <w:r>
        <w:t>ZK240620_147_př. 1.xls</w:t>
      </w:r>
      <w:r w:rsidRPr="0081756D">
        <w:t>)</w:t>
      </w:r>
    </w:p>
    <w:p w14:paraId="786FDF4A" w14:textId="77777777" w:rsidR="00736A0F" w:rsidRDefault="00736A0F" w:rsidP="008B6A42">
      <w:pPr>
        <w:pStyle w:val="KUJKnormal"/>
      </w:pPr>
    </w:p>
    <w:p w14:paraId="76D6215A" w14:textId="77777777" w:rsidR="00736A0F" w:rsidRDefault="00736A0F" w:rsidP="008B6A42">
      <w:pPr>
        <w:pStyle w:val="KUJKnormal"/>
      </w:pPr>
    </w:p>
    <w:p w14:paraId="0FCA631F" w14:textId="77777777" w:rsidR="00736A0F" w:rsidRPr="007C1EE7" w:rsidRDefault="00736A0F" w:rsidP="008B6A42">
      <w:pPr>
        <w:pStyle w:val="KUJKtucny"/>
      </w:pPr>
      <w:r w:rsidRPr="007C1EE7">
        <w:t>Zodpovídá:</w:t>
      </w:r>
      <w:r>
        <w:tab/>
        <w:t>vedoucí ODSH – JUDr. Andrea Tetourová</w:t>
      </w:r>
    </w:p>
    <w:p w14:paraId="6249659D" w14:textId="77777777" w:rsidR="00736A0F" w:rsidRDefault="00736A0F" w:rsidP="008B6A42">
      <w:pPr>
        <w:pStyle w:val="KUJKnormal"/>
      </w:pPr>
    </w:p>
    <w:p w14:paraId="34CC3192" w14:textId="77777777" w:rsidR="00736A0F" w:rsidRDefault="00736A0F" w:rsidP="008B6A42">
      <w:pPr>
        <w:pStyle w:val="KUJKnormal"/>
      </w:pPr>
      <w:r>
        <w:t>Termín kontroly:</w:t>
      </w:r>
      <w:r>
        <w:tab/>
        <w:t>31. 12. 2024</w:t>
      </w:r>
    </w:p>
    <w:p w14:paraId="18967958" w14:textId="77777777" w:rsidR="00736A0F" w:rsidRDefault="00736A0F" w:rsidP="008B6A42">
      <w:pPr>
        <w:pStyle w:val="KUJKnormal"/>
      </w:pPr>
      <w:r>
        <w:t>Termín splnění:</w:t>
      </w:r>
      <w:r>
        <w:tab/>
      </w:r>
      <w:r>
        <w:tab/>
        <w:t>31. 08. 2025</w:t>
      </w:r>
    </w:p>
    <w:p w14:paraId="5FB9ED7F" w14:textId="77777777" w:rsidR="00736A0F" w:rsidRDefault="00736A0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2D65A" w14:textId="77777777" w:rsidR="00736A0F" w:rsidRDefault="00736A0F" w:rsidP="00736A0F">
    <w:r>
      <w:rPr>
        <w:noProof/>
      </w:rPr>
      <w:pict w14:anchorId="6E24764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B008B30" w14:textId="77777777" w:rsidR="00736A0F" w:rsidRPr="005F485E" w:rsidRDefault="00736A0F" w:rsidP="00736A0F">
                <w:pPr>
                  <w:spacing w:after="60"/>
                  <w:rPr>
                    <w:rFonts w:ascii="Arial" w:hAnsi="Arial" w:cs="Arial"/>
                    <w:b/>
                    <w:sz w:val="22"/>
                  </w:rPr>
                </w:pPr>
                <w:r w:rsidRPr="005F485E">
                  <w:rPr>
                    <w:rFonts w:ascii="Arial" w:hAnsi="Arial" w:cs="Arial"/>
                    <w:b/>
                    <w:sz w:val="22"/>
                  </w:rPr>
                  <w:t>ZASTUPITELSTVO JIHOČESKÉHO KRAJE</w:t>
                </w:r>
              </w:p>
              <w:p w14:paraId="3EE89FB5" w14:textId="77777777" w:rsidR="00736A0F" w:rsidRPr="005F485E" w:rsidRDefault="00736A0F" w:rsidP="00736A0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7DBA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886010E" w14:textId="77777777" w:rsidR="00736A0F" w:rsidRDefault="00736A0F" w:rsidP="00736A0F">
    <w:r>
      <w:pict w14:anchorId="10424FEA">
        <v:rect id="_x0000_i1026" style="width:481.9pt;height:2pt" o:hralign="center" o:hrstd="t" o:hrnoshade="t" o:hr="t" fillcolor="black" stroked="f"/>
      </w:pict>
    </w:r>
  </w:p>
  <w:p w14:paraId="734275ED" w14:textId="77777777" w:rsidR="00736A0F" w:rsidRPr="00736A0F" w:rsidRDefault="00736A0F" w:rsidP="00736A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2192640">
    <w:abstractNumId w:val="1"/>
  </w:num>
  <w:num w:numId="2" w16cid:durableId="534587392">
    <w:abstractNumId w:val="2"/>
  </w:num>
  <w:num w:numId="3" w16cid:durableId="203566864">
    <w:abstractNumId w:val="9"/>
  </w:num>
  <w:num w:numId="4" w16cid:durableId="1588886725">
    <w:abstractNumId w:val="7"/>
  </w:num>
  <w:num w:numId="5" w16cid:durableId="1052539491">
    <w:abstractNumId w:val="0"/>
  </w:num>
  <w:num w:numId="6" w16cid:durableId="330717222">
    <w:abstractNumId w:val="3"/>
  </w:num>
  <w:num w:numId="7" w16cid:durableId="2099714299">
    <w:abstractNumId w:val="6"/>
  </w:num>
  <w:num w:numId="8" w16cid:durableId="1809856957">
    <w:abstractNumId w:val="4"/>
  </w:num>
  <w:num w:numId="9" w16cid:durableId="1846705112">
    <w:abstractNumId w:val="5"/>
  </w:num>
  <w:num w:numId="10" w16cid:durableId="883299536">
    <w:abstractNumId w:val="8"/>
  </w:num>
  <w:num w:numId="11" w16cid:durableId="795298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637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1210302">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B5BA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2829"/>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6A0F"/>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KUJKpolozka0">
    <w:name w:val="KUJK_polozka"/>
    <w:basedOn w:val="Normln"/>
    <w:next w:val="Normln"/>
    <w:qFormat/>
    <w:rsid w:val="00736A0F"/>
    <w:pPr>
      <w:contextualSpacing/>
    </w:pPr>
    <w:rPr>
      <w:rFonts w:ascii="Arial" w:eastAsia="Times New Roman" w:hAnsi="Arial"/>
      <w:b/>
      <w:sz w:val="20"/>
      <w:szCs w:val="28"/>
    </w:rPr>
  </w:style>
  <w:style w:type="paragraph" w:styleId="Prosttext">
    <w:name w:val="Plain Text"/>
    <w:basedOn w:val="Normln"/>
    <w:link w:val="ProsttextChar"/>
    <w:uiPriority w:val="99"/>
    <w:unhideWhenUsed/>
    <w:rsid w:val="00736A0F"/>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736A0F"/>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6712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2024-06-21T11:56:00Z</dcterms:created>
  <dcterms:modified xsi:type="dcterms:W3CDTF">2024-06-21T11:56:00Z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6533176</vt:i4>
  </property>
  <property fmtid="{D5CDD505-2E9C-101B-9397-08002B2CF9AE}" pid="5" name="UlozitJako">
    <vt:lpwstr>C:\Users\mrazkova\AppData\Local\Temp\iU47964112\Zastupitelstvo\2024-06-20\Navrhy\147-ZK-24.</vt:lpwstr>
  </property>
  <property fmtid="{D5CDD505-2E9C-101B-9397-08002B2CF9AE}" pid="6" name="Zpracovat">
    <vt:bool>false</vt:bool>
  </property>
</Properties>
</file>