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00BBE" w14:paraId="61414030" w14:textId="77777777" w:rsidTr="006D28CB">
        <w:trPr>
          <w:trHeight w:hRule="exact" w:val="397"/>
        </w:trPr>
        <w:tc>
          <w:tcPr>
            <w:tcW w:w="2376" w:type="dxa"/>
            <w:hideMark/>
          </w:tcPr>
          <w:p w14:paraId="47CAEA69" w14:textId="77777777" w:rsidR="00300BBE" w:rsidRDefault="00300BB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E8F8ADF" w14:textId="77777777" w:rsidR="00300BBE" w:rsidRDefault="00300BBE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73CF66D9" w14:textId="77777777" w:rsidR="00300BBE" w:rsidRDefault="00300BBE" w:rsidP="00970720">
            <w:pPr>
              <w:pStyle w:val="KUJKtucny"/>
            </w:pPr>
            <w:r>
              <w:t xml:space="preserve">Bod programu: </w:t>
            </w:r>
            <w:r>
              <w:rPr>
                <w:sz w:val="32"/>
                <w:szCs w:val="32"/>
              </w:rPr>
              <w:t>69</w:t>
            </w:r>
          </w:p>
        </w:tc>
        <w:tc>
          <w:tcPr>
            <w:tcW w:w="850" w:type="dxa"/>
          </w:tcPr>
          <w:p w14:paraId="76A98ADD" w14:textId="77777777" w:rsidR="00300BBE" w:rsidRDefault="00300BBE" w:rsidP="00970720">
            <w:pPr>
              <w:pStyle w:val="KUJKnormal"/>
            </w:pPr>
          </w:p>
        </w:tc>
      </w:tr>
      <w:tr w:rsidR="00300BBE" w14:paraId="1AF14F20" w14:textId="77777777" w:rsidTr="006D28CB">
        <w:trPr>
          <w:cantSplit/>
          <w:trHeight w:hRule="exact" w:val="397"/>
        </w:trPr>
        <w:tc>
          <w:tcPr>
            <w:tcW w:w="2376" w:type="dxa"/>
            <w:hideMark/>
          </w:tcPr>
          <w:p w14:paraId="1F484DAD" w14:textId="77777777" w:rsidR="00300BBE" w:rsidRDefault="00300BB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D8B054" w14:textId="77777777" w:rsidR="00300BBE" w:rsidRDefault="00300BBE" w:rsidP="00970720">
            <w:pPr>
              <w:pStyle w:val="KUJKnormal"/>
            </w:pPr>
            <w:r>
              <w:t>145/ZK/24</w:t>
            </w:r>
          </w:p>
        </w:tc>
      </w:tr>
      <w:tr w:rsidR="00300BBE" w14:paraId="1E8EE0C6" w14:textId="77777777" w:rsidTr="006D28CB">
        <w:trPr>
          <w:trHeight w:val="397"/>
        </w:trPr>
        <w:tc>
          <w:tcPr>
            <w:tcW w:w="2376" w:type="dxa"/>
          </w:tcPr>
          <w:p w14:paraId="3675327A" w14:textId="77777777" w:rsidR="00300BBE" w:rsidRDefault="00300BBE" w:rsidP="00970720"/>
          <w:p w14:paraId="491E4078" w14:textId="77777777" w:rsidR="00300BBE" w:rsidRDefault="00300BB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89C26BE" w14:textId="77777777" w:rsidR="00300BBE" w:rsidRDefault="00300BBE" w:rsidP="00970720"/>
          <w:p w14:paraId="09871720" w14:textId="77777777" w:rsidR="00300BBE" w:rsidRDefault="00300BB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Silnice II/141, stoupací pruhy Libínské Sedlo, úsek 2 a jeho financování z rozpočtu Jihočeského kraje</w:t>
            </w:r>
          </w:p>
        </w:tc>
      </w:tr>
    </w:tbl>
    <w:p w14:paraId="6A51BD9B" w14:textId="77777777" w:rsidR="00300BBE" w:rsidRDefault="00300BBE" w:rsidP="006D28CB">
      <w:pPr>
        <w:pStyle w:val="KUJKnormal"/>
        <w:rPr>
          <w:b/>
          <w:bCs/>
        </w:rPr>
      </w:pPr>
      <w:r>
        <w:rPr>
          <w:b/>
          <w:bCs/>
        </w:rPr>
        <w:pict w14:anchorId="3BB5C81E">
          <v:rect id="_x0000_i1029" style="width:453.6pt;height:1.5pt" o:hralign="center" o:hrstd="t" o:hrnoshade="t" o:hr="t" fillcolor="black" stroked="f"/>
        </w:pict>
      </w:r>
    </w:p>
    <w:p w14:paraId="5CE3CD8E" w14:textId="77777777" w:rsidR="00300BBE" w:rsidRDefault="00300BBE" w:rsidP="006D28CB">
      <w:pPr>
        <w:pStyle w:val="KUJKnormal"/>
      </w:pPr>
    </w:p>
    <w:p w14:paraId="2A51B028" w14:textId="77777777" w:rsidR="00300BBE" w:rsidRDefault="00300BBE" w:rsidP="006D28C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00BBE" w14:paraId="406935B2" w14:textId="77777777" w:rsidTr="002559B8">
        <w:trPr>
          <w:trHeight w:val="397"/>
        </w:trPr>
        <w:tc>
          <w:tcPr>
            <w:tcW w:w="2350" w:type="dxa"/>
            <w:hideMark/>
          </w:tcPr>
          <w:p w14:paraId="1ADFB3C5" w14:textId="77777777" w:rsidR="00300BBE" w:rsidRDefault="00300BB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0039C0" w14:textId="77777777" w:rsidR="00300BBE" w:rsidRDefault="00300BBE" w:rsidP="002559B8">
            <w:pPr>
              <w:pStyle w:val="KUJKnormal"/>
            </w:pPr>
            <w:r>
              <w:t>Ing. Tomáš Hajdušek</w:t>
            </w:r>
          </w:p>
          <w:p w14:paraId="0AB44289" w14:textId="77777777" w:rsidR="00300BBE" w:rsidRDefault="00300BBE" w:rsidP="002559B8"/>
        </w:tc>
      </w:tr>
      <w:tr w:rsidR="00300BBE" w14:paraId="61CA2C58" w14:textId="77777777" w:rsidTr="002559B8">
        <w:trPr>
          <w:trHeight w:val="397"/>
        </w:trPr>
        <w:tc>
          <w:tcPr>
            <w:tcW w:w="2350" w:type="dxa"/>
          </w:tcPr>
          <w:p w14:paraId="1F3DC2C9" w14:textId="77777777" w:rsidR="00300BBE" w:rsidRDefault="00300BBE" w:rsidP="002559B8">
            <w:pPr>
              <w:pStyle w:val="KUJKtucny"/>
            </w:pPr>
            <w:r>
              <w:t>Zpracoval:</w:t>
            </w:r>
          </w:p>
          <w:p w14:paraId="1F6659AF" w14:textId="77777777" w:rsidR="00300BBE" w:rsidRDefault="00300BBE" w:rsidP="002559B8"/>
        </w:tc>
        <w:tc>
          <w:tcPr>
            <w:tcW w:w="6862" w:type="dxa"/>
            <w:hideMark/>
          </w:tcPr>
          <w:p w14:paraId="348B5F0C" w14:textId="77777777" w:rsidR="00300BBE" w:rsidRDefault="00300BBE" w:rsidP="002559B8">
            <w:pPr>
              <w:pStyle w:val="KUJKnormal"/>
            </w:pPr>
            <w:r>
              <w:t>ODSH</w:t>
            </w:r>
          </w:p>
        </w:tc>
      </w:tr>
      <w:tr w:rsidR="00300BBE" w14:paraId="6B36CBD4" w14:textId="77777777" w:rsidTr="002559B8">
        <w:trPr>
          <w:trHeight w:val="397"/>
        </w:trPr>
        <w:tc>
          <w:tcPr>
            <w:tcW w:w="2350" w:type="dxa"/>
          </w:tcPr>
          <w:p w14:paraId="241415C5" w14:textId="77777777" w:rsidR="00300BBE" w:rsidRPr="009715F9" w:rsidRDefault="00300BB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193EC53" w14:textId="77777777" w:rsidR="00300BBE" w:rsidRDefault="00300BBE" w:rsidP="002559B8"/>
        </w:tc>
        <w:tc>
          <w:tcPr>
            <w:tcW w:w="6862" w:type="dxa"/>
            <w:hideMark/>
          </w:tcPr>
          <w:p w14:paraId="12DE0A1E" w14:textId="77777777" w:rsidR="00300BBE" w:rsidRDefault="00300BBE" w:rsidP="002559B8">
            <w:pPr>
              <w:pStyle w:val="KUJKnormal"/>
            </w:pPr>
            <w:r>
              <w:t>JUDr. Andrea Tetourová</w:t>
            </w:r>
          </w:p>
        </w:tc>
      </w:tr>
    </w:tbl>
    <w:p w14:paraId="3036874B" w14:textId="77777777" w:rsidR="00300BBE" w:rsidRDefault="00300BBE" w:rsidP="006D28CB">
      <w:pPr>
        <w:pStyle w:val="KUJKnormal"/>
      </w:pPr>
    </w:p>
    <w:p w14:paraId="36F104B7" w14:textId="77777777" w:rsidR="00300BBE" w:rsidRPr="0052161F" w:rsidRDefault="00300BBE" w:rsidP="006D28CB">
      <w:pPr>
        <w:pStyle w:val="KUJKtucny"/>
      </w:pPr>
      <w:r w:rsidRPr="0052161F">
        <w:t>NÁVRH USNESENÍ</w:t>
      </w:r>
    </w:p>
    <w:p w14:paraId="574EAA5C" w14:textId="77777777" w:rsidR="00300BBE" w:rsidRDefault="00300BBE" w:rsidP="006D28C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EA6901" w14:textId="77777777" w:rsidR="00300BBE" w:rsidRPr="00841DFC" w:rsidRDefault="00300BBE" w:rsidP="006D28CB">
      <w:pPr>
        <w:pStyle w:val="KUJKPolozka"/>
      </w:pPr>
      <w:r w:rsidRPr="00841DFC">
        <w:t>Zastupitelstvo Jihočeského kraje</w:t>
      </w:r>
    </w:p>
    <w:p w14:paraId="5ECB468B" w14:textId="77777777" w:rsidR="00300BBE" w:rsidRPr="00E10FE7" w:rsidRDefault="00300BBE" w:rsidP="00E21F8F">
      <w:pPr>
        <w:pStyle w:val="KUJKdoplnek2"/>
      </w:pPr>
      <w:r w:rsidRPr="00AF7BAE">
        <w:t>schvaluje</w:t>
      </w:r>
    </w:p>
    <w:p w14:paraId="375E3403" w14:textId="77777777" w:rsidR="00300BBE" w:rsidRPr="00E21F8F" w:rsidRDefault="00300BBE" w:rsidP="00E21F8F">
      <w:pPr>
        <w:pStyle w:val="KUJKPolozka"/>
        <w:rPr>
          <w:b w:val="0"/>
          <w:bCs/>
        </w:rPr>
      </w:pPr>
      <w:r w:rsidRPr="00E21F8F">
        <w:rPr>
          <w:b w:val="0"/>
          <w:bCs/>
        </w:rPr>
        <w:t>1. realizaci projektu Jihočeského kraje „Silnice II/141 – stoupací pruhy Libínské Sedlo – úsek 2“ a jeho financování z rozpočtu Jihočeského kraje“ a podání žádosti o podporu do průběžné 21. výzvy Priorita 3 specifického cíle 3.1 Integrovaného regionálního operačního programu 2021-2027 (dále jen IROP 2021-2027) s celkovými výdaji ve výši 83 228 204,11 Kč vč. DPH, z toho způsobilými výdaji ve výši 67 129 472,11 Kč vč. DPH,</w:t>
      </w:r>
    </w:p>
    <w:p w14:paraId="33FE380C" w14:textId="77777777" w:rsidR="00300BBE" w:rsidRPr="00E21F8F" w:rsidRDefault="00300BBE" w:rsidP="00E21F8F">
      <w:pPr>
        <w:pStyle w:val="KUJKPolozka"/>
        <w:rPr>
          <w:b w:val="0"/>
          <w:bCs/>
        </w:rPr>
      </w:pPr>
      <w:r w:rsidRPr="00E21F8F">
        <w:rPr>
          <w:b w:val="0"/>
          <w:bCs/>
        </w:rPr>
        <w:t>2. kofinancování projektu ve výši 15 % ze způsobilých výdajů projektu, tj. 10 069 420,82 Kč vč. DPH, s podmínkou přidělení dotace z IROP 2021-2027 s čerpáním na základě Formuláře evropského projektu dle přílohy č. 1 návrhu č. 145/</w:t>
      </w:r>
      <w:r>
        <w:rPr>
          <w:b w:val="0"/>
          <w:bCs/>
        </w:rPr>
        <w:t>Z</w:t>
      </w:r>
      <w:r w:rsidRPr="00E21F8F">
        <w:rPr>
          <w:b w:val="0"/>
          <w:bCs/>
        </w:rPr>
        <w:t xml:space="preserve">K/24, </w:t>
      </w:r>
    </w:p>
    <w:p w14:paraId="3AB8FFD9" w14:textId="77777777" w:rsidR="00300BBE" w:rsidRPr="00E21F8F" w:rsidRDefault="00300BBE" w:rsidP="00E21F8F">
      <w:pPr>
        <w:pStyle w:val="KUJKPolozka"/>
        <w:rPr>
          <w:b w:val="0"/>
          <w:bCs/>
        </w:rPr>
      </w:pPr>
      <w:r w:rsidRPr="00E21F8F">
        <w:rPr>
          <w:b w:val="0"/>
          <w:bCs/>
        </w:rPr>
        <w:t>3. předfinancování projektu ve výši 85 % ze způsobilých výdajů projektu, tj. 57 060 051,29 Kč vč. DPH s podmínkou přidělení dotace z IROP 2021-2027 s čerpáním na základě Formuláře evropského projektu dle přílohy č. 1 návrhu č. 145/</w:t>
      </w:r>
      <w:r>
        <w:rPr>
          <w:b w:val="0"/>
          <w:bCs/>
        </w:rPr>
        <w:t>Z</w:t>
      </w:r>
      <w:r w:rsidRPr="00E21F8F">
        <w:rPr>
          <w:b w:val="0"/>
          <w:bCs/>
        </w:rPr>
        <w:t>K/24,</w:t>
      </w:r>
    </w:p>
    <w:p w14:paraId="663BF95A" w14:textId="77777777" w:rsidR="00300BBE" w:rsidRPr="00E21F8F" w:rsidRDefault="00300BBE" w:rsidP="00E21F8F">
      <w:pPr>
        <w:pStyle w:val="KUJKPolozka"/>
        <w:rPr>
          <w:b w:val="0"/>
          <w:bCs/>
        </w:rPr>
      </w:pPr>
      <w:r w:rsidRPr="00E21F8F">
        <w:rPr>
          <w:b w:val="0"/>
          <w:bCs/>
        </w:rPr>
        <w:t>4.</w:t>
      </w:r>
      <w:r w:rsidRPr="00E21F8F">
        <w:rPr>
          <w:b w:val="0"/>
          <w:bCs/>
          <w:color w:val="FF0000"/>
        </w:rPr>
        <w:t xml:space="preserve"> </w:t>
      </w:r>
      <w:r w:rsidRPr="00E21F8F">
        <w:rPr>
          <w:b w:val="0"/>
          <w:bCs/>
        </w:rPr>
        <w:t>financování nezpůsobilých výdajů projektu ve výši 16 098 732,00 Kč vč. DPH s čerpáním na základě Formuláře evropského projektu dle přílohy č. 1 návrhu č. 145/</w:t>
      </w:r>
      <w:r>
        <w:rPr>
          <w:b w:val="0"/>
          <w:bCs/>
        </w:rPr>
        <w:t>Z</w:t>
      </w:r>
      <w:r w:rsidRPr="00E21F8F">
        <w:rPr>
          <w:b w:val="0"/>
          <w:bCs/>
        </w:rPr>
        <w:t>K/24;</w:t>
      </w:r>
    </w:p>
    <w:p w14:paraId="25D9E383" w14:textId="77777777" w:rsidR="00300BBE" w:rsidRDefault="00300BBE" w:rsidP="00300BBE">
      <w:pPr>
        <w:pStyle w:val="KUJKdoplnek2"/>
        <w:numPr>
          <w:ilvl w:val="1"/>
          <w:numId w:val="11"/>
        </w:numPr>
      </w:pPr>
      <w:r w:rsidRPr="0021676C">
        <w:t>ukládá</w:t>
      </w:r>
    </w:p>
    <w:p w14:paraId="32F9EF0F" w14:textId="77777777" w:rsidR="00300BBE" w:rsidRPr="00E21F8F" w:rsidRDefault="00300BBE" w:rsidP="00300BBE">
      <w:pPr>
        <w:pStyle w:val="KUJKPolozka"/>
        <w:numPr>
          <w:ilvl w:val="0"/>
          <w:numId w:val="11"/>
        </w:numPr>
        <w:rPr>
          <w:b w:val="0"/>
          <w:bCs/>
        </w:rPr>
      </w:pPr>
      <w:r w:rsidRPr="00E21F8F">
        <w:rPr>
          <w:b w:val="0"/>
          <w:bCs/>
        </w:rPr>
        <w:t xml:space="preserve">JUDr. Lukášovi </w:t>
      </w:r>
      <w:r w:rsidRPr="00FA3BB3">
        <w:rPr>
          <w:b w:val="0"/>
          <w:bCs/>
        </w:rPr>
        <w:t>Glaserovi, LL.M., řediteli</w:t>
      </w:r>
      <w:r w:rsidRPr="00E21F8F">
        <w:rPr>
          <w:b w:val="0"/>
          <w:bCs/>
        </w:rPr>
        <w:t xml:space="preserve"> krajského úřadu, zajistit realizaci uvedeného usnesení.</w:t>
      </w:r>
    </w:p>
    <w:p w14:paraId="3954DD74" w14:textId="77777777" w:rsidR="00300BBE" w:rsidRDefault="00300BBE" w:rsidP="00E21F8F">
      <w:pPr>
        <w:pStyle w:val="KUJKnormal"/>
        <w:rPr>
          <w:bCs/>
        </w:rPr>
      </w:pPr>
      <w:r>
        <w:rPr>
          <w:bCs/>
        </w:rPr>
        <w:t>T: 31.</w:t>
      </w:r>
      <w:r w:rsidRPr="00FD54C3">
        <w:t>08</w:t>
      </w:r>
      <w:r>
        <w:rPr>
          <w:bCs/>
        </w:rPr>
        <w:t>.2025</w:t>
      </w:r>
    </w:p>
    <w:p w14:paraId="07C07E2A" w14:textId="77777777" w:rsidR="00300BBE" w:rsidRDefault="00300BBE" w:rsidP="00E21F8F">
      <w:pPr>
        <w:pStyle w:val="KUJKnormal"/>
        <w:rPr>
          <w:bCs/>
        </w:rPr>
      </w:pPr>
    </w:p>
    <w:p w14:paraId="7EB4CE9F" w14:textId="77777777" w:rsidR="00300BBE" w:rsidRDefault="00300BBE" w:rsidP="00E21F8F">
      <w:pPr>
        <w:pStyle w:val="KUJKmezeraDZ"/>
      </w:pPr>
      <w:bookmarkStart w:id="1" w:name="US_DuvodZprava"/>
      <w:bookmarkEnd w:id="1"/>
    </w:p>
    <w:p w14:paraId="7967A0E5" w14:textId="77777777" w:rsidR="00300BBE" w:rsidRDefault="00300BBE" w:rsidP="00E21F8F">
      <w:pPr>
        <w:pStyle w:val="KUJKnadpisDZ"/>
      </w:pPr>
      <w:r>
        <w:t>DŮVODOVÁ ZPRÁVA</w:t>
      </w:r>
    </w:p>
    <w:p w14:paraId="17946A34" w14:textId="77777777" w:rsidR="00300BBE" w:rsidRPr="009B7B0B" w:rsidRDefault="00300BBE" w:rsidP="00E21F8F">
      <w:pPr>
        <w:pStyle w:val="KUJKmezeraDZ"/>
      </w:pPr>
    </w:p>
    <w:p w14:paraId="33BB0DDB" w14:textId="77777777" w:rsidR="00300BBE" w:rsidRDefault="00300BBE" w:rsidP="002E6E43">
      <w:pPr>
        <w:pStyle w:val="KUJKnormal"/>
      </w:pPr>
      <w:r>
        <w:rPr>
          <w:rFonts w:eastAsia="Times New Roman"/>
        </w:rPr>
        <w:t>Jihočeský kraj prostřednictvím odboru ODSH předpokládá předložení projektové žádosti do 21. výzvy IROP 2021-2027 v měsíci dubnu 2024.</w:t>
      </w:r>
    </w:p>
    <w:p w14:paraId="2A0F508B" w14:textId="77777777" w:rsidR="00300BBE" w:rsidRDefault="00300BBE" w:rsidP="002E6E43">
      <w:pPr>
        <w:pStyle w:val="KUJKnormal"/>
        <w:rPr>
          <w:rFonts w:eastAsia="Times New Roman"/>
        </w:rPr>
      </w:pPr>
    </w:p>
    <w:p w14:paraId="2891B100" w14:textId="77777777" w:rsidR="00300BBE" w:rsidRDefault="00300BBE" w:rsidP="002E6E4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sz w:val="20"/>
          <w:szCs w:val="28"/>
        </w:rPr>
        <w:t xml:space="preserve">Projekt představuje </w:t>
      </w:r>
      <w:r>
        <w:rPr>
          <w:rFonts w:ascii="Arial" w:hAnsi="Arial" w:cs="Arial"/>
          <w:bCs/>
          <w:sz w:val="20"/>
          <w:szCs w:val="20"/>
        </w:rPr>
        <w:t xml:space="preserve">dopravní stavbu Jihočeského kraje, jejímž předmětem je výstavba nového stoupacího pruhu na silnici II/141 mezi Prachaticemi a Libínským Sedlem. Nákladní automobily jedoucí směrem na Libínské Sedlo jsou nuceni před směrovým obloukem velmi zpomalit, ale následně jedou do mírného stoupání pomalu a tím blokují ostatní dopravu. </w:t>
      </w:r>
    </w:p>
    <w:p w14:paraId="784011EE" w14:textId="77777777" w:rsidR="00300BBE" w:rsidRDefault="00300BBE" w:rsidP="002E6E4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Nový stoupací pruh je navržen ve staničení km 46,575 00 až 47,504 50 tj. délka stoupacího pruhu 929,5m (včetně rozšiřovacího úseku délky 100m a zužovacího úseku délky 160m) za tzv. Americkou zatáčkou. Rozšíření je navrženo do svahu v zářezu, tj. vlevo ve směru staničení, stávající stav vpravo ve směru staničení zůstane nezměněn (stávající opěrné zdi zůstanou). Základní příčné uspořádání navrhované komunikace vychází z kategorie S7,5/90 + stoupací pruh a dle stávajícího šířkového uspořádání stávajícího silnice II/141. Sklony svahů zemního tělesa jsou navrženy 1:1 či 1:2.</w:t>
      </w:r>
    </w:p>
    <w:p w14:paraId="4CFCDBDC" w14:textId="77777777" w:rsidR="00300BBE" w:rsidRDefault="00300BBE" w:rsidP="002E6E4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 místě skalnatého zářezu ve sklonu 1:1 jsou navrženy ocelové sítě. Odvodnění navržené komunikace bude řešeno zejména pomocí mělkého silničního rigolu z kamenné dlažby včetně trativodu a propustků. Princip </w:t>
      </w:r>
      <w:r>
        <w:rPr>
          <w:rFonts w:ascii="Arial" w:hAnsi="Arial" w:cs="Arial"/>
          <w:bCs/>
          <w:sz w:val="20"/>
          <w:szCs w:val="20"/>
        </w:rPr>
        <w:lastRenderedPageBreak/>
        <w:t>odvodnění zůstává stávající, stávající propustky budou prodlouženy (SO 301).</w:t>
      </w:r>
      <w:r>
        <w:t xml:space="preserve"> </w:t>
      </w:r>
      <w:r>
        <w:rPr>
          <w:rFonts w:ascii="Arial" w:hAnsi="Arial" w:cs="Arial"/>
          <w:bCs/>
          <w:sz w:val="20"/>
          <w:szCs w:val="20"/>
        </w:rPr>
        <w:t>Jedná se o úpravy 4 propustků DN 600. SO 121 Lesní cesta bude spočívat v úpravě napojení v délce 20 m, V místě napojení je navržen trubní propustek DN 400 se šikmými čely. V rámci SO 801 Sadové úpravy bude realizován záchranný transfer mravenišť a vysázení na 50ks jedle bělokoré (Abies alba).</w:t>
      </w:r>
    </w:p>
    <w:p w14:paraId="1B8B5F44" w14:textId="77777777" w:rsidR="00300BBE" w:rsidRDefault="00300BBE" w:rsidP="002E6E4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Výstavba bude realizována po etapách s částečnou uzavírkou po dobu 6 měsíců, doprava bude vedena kyvadlově pomocí světelně signalizačního zařízení. Úplná uzavírka silnice může být realizována pouze s ohledem na autobusovou dopravu mimo pracovní týden pro potřeby zhotovení finální obrusné vrstvy v celém úseku rekonstruované silnice po dohodě s objednatelem.</w:t>
      </w:r>
    </w:p>
    <w:p w14:paraId="4CD26D19" w14:textId="77777777" w:rsidR="00300BBE" w:rsidRDefault="00300BBE" w:rsidP="002E6E43">
      <w:pPr>
        <w:jc w:val="both"/>
        <w:rPr>
          <w:rFonts w:ascii="Arial" w:hAnsi="Arial" w:cs="Arial"/>
          <w:sz w:val="20"/>
          <w:szCs w:val="20"/>
        </w:rPr>
      </w:pPr>
    </w:p>
    <w:p w14:paraId="3FB0372B" w14:textId="77777777" w:rsidR="00300BBE" w:rsidRDefault="00300BBE" w:rsidP="002E6E43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641335A" w14:textId="77777777" w:rsidR="00300BBE" w:rsidRDefault="00300BBE" w:rsidP="002E6E43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Způsobilé výdaje projektu v celkové výši </w:t>
      </w:r>
      <w:r>
        <w:rPr>
          <w:rFonts w:ascii="Arial" w:hAnsi="Arial" w:cs="Arial"/>
          <w:b/>
          <w:sz w:val="20"/>
          <w:szCs w:val="20"/>
        </w:rPr>
        <w:t>67 129 472,11</w:t>
      </w:r>
      <w:r>
        <w:rPr>
          <w:rFonts w:ascii="Arial" w:hAnsi="Arial" w:cs="Arial"/>
          <w:bCs/>
          <w:sz w:val="20"/>
          <w:szCs w:val="20"/>
        </w:rPr>
        <w:t xml:space="preserve"> Kč s DPH přestavují částku za stavební práce ve výši </w:t>
      </w:r>
      <w:r>
        <w:rPr>
          <w:rFonts w:ascii="Arial" w:hAnsi="Arial" w:cs="Arial"/>
          <w:b/>
          <w:i/>
          <w:iCs/>
          <w:sz w:val="20"/>
          <w:szCs w:val="20"/>
        </w:rPr>
        <w:t>64 682 162,11</w:t>
      </w:r>
      <w:r>
        <w:rPr>
          <w:rFonts w:ascii="Arial" w:hAnsi="Arial" w:cs="Arial"/>
          <w:bCs/>
          <w:sz w:val="20"/>
          <w:szCs w:val="20"/>
        </w:rPr>
        <w:t xml:space="preserve"> Kč vč. DPH, částku za výkon technického dozoru stavebníka ve výši </w:t>
      </w:r>
      <w:r>
        <w:rPr>
          <w:rFonts w:ascii="Arial" w:hAnsi="Arial" w:cs="Arial"/>
          <w:b/>
          <w:i/>
          <w:iCs/>
          <w:sz w:val="20"/>
          <w:szCs w:val="20"/>
        </w:rPr>
        <w:t>637 150,00</w:t>
      </w:r>
      <w:r>
        <w:rPr>
          <w:rFonts w:ascii="Arial" w:hAnsi="Arial" w:cs="Arial"/>
          <w:bCs/>
          <w:sz w:val="20"/>
          <w:szCs w:val="20"/>
        </w:rPr>
        <w:t xml:space="preserve"> Kč s DPH, částku za koordinátora BOZP ve výši </w:t>
      </w:r>
      <w:r>
        <w:rPr>
          <w:rFonts w:ascii="Arial" w:hAnsi="Arial" w:cs="Arial"/>
          <w:b/>
          <w:i/>
          <w:iCs/>
          <w:sz w:val="20"/>
          <w:szCs w:val="20"/>
        </w:rPr>
        <w:t>59 290,00</w:t>
      </w:r>
      <w:r>
        <w:rPr>
          <w:rFonts w:ascii="Arial" w:hAnsi="Arial" w:cs="Arial"/>
          <w:bCs/>
          <w:sz w:val="20"/>
          <w:szCs w:val="20"/>
        </w:rPr>
        <w:t xml:space="preserve"> Kč vč. DPH, částku za klimatický audit ve výši </w:t>
      </w:r>
      <w:r>
        <w:rPr>
          <w:rFonts w:ascii="Arial" w:hAnsi="Arial" w:cs="Arial"/>
          <w:b/>
          <w:i/>
          <w:iCs/>
          <w:sz w:val="20"/>
          <w:szCs w:val="20"/>
        </w:rPr>
        <w:t>87 120,00</w:t>
      </w:r>
      <w:r>
        <w:rPr>
          <w:rFonts w:ascii="Arial" w:hAnsi="Arial" w:cs="Arial"/>
          <w:bCs/>
          <w:sz w:val="20"/>
          <w:szCs w:val="20"/>
        </w:rPr>
        <w:t xml:space="preserve"> Kč s DPH, částku za zpracovatele žádosti včetně studie proveditelnosti ve výši </w:t>
      </w:r>
      <w:r>
        <w:rPr>
          <w:rFonts w:ascii="Arial" w:hAnsi="Arial" w:cs="Arial"/>
          <w:b/>
          <w:i/>
          <w:iCs/>
          <w:sz w:val="20"/>
          <w:szCs w:val="20"/>
        </w:rPr>
        <w:t>114 950,00</w:t>
      </w:r>
      <w:r>
        <w:rPr>
          <w:rFonts w:ascii="Arial" w:hAnsi="Arial" w:cs="Arial"/>
          <w:bCs/>
          <w:sz w:val="20"/>
          <w:szCs w:val="20"/>
        </w:rPr>
        <w:t xml:space="preserve"> Kč s DPH /neinvestiční výda0 projektu/, částku za projektovou dokumentaci ve výši </w:t>
      </w:r>
      <w:r>
        <w:rPr>
          <w:rFonts w:ascii="Arial" w:hAnsi="Arial" w:cs="Arial"/>
          <w:b/>
          <w:i/>
          <w:iCs/>
          <w:sz w:val="20"/>
          <w:szCs w:val="20"/>
        </w:rPr>
        <w:t>1 427 800,00</w:t>
      </w:r>
      <w:r>
        <w:rPr>
          <w:rFonts w:ascii="Arial" w:hAnsi="Arial" w:cs="Arial"/>
          <w:bCs/>
          <w:sz w:val="20"/>
          <w:szCs w:val="20"/>
        </w:rPr>
        <w:t xml:space="preserve"> Kč s DPH a výkon autorského dozoru projektanta ve výši </w:t>
      </w:r>
      <w:r>
        <w:rPr>
          <w:rFonts w:ascii="Arial" w:hAnsi="Arial" w:cs="Arial"/>
          <w:b/>
          <w:i/>
          <w:iCs/>
          <w:sz w:val="20"/>
          <w:szCs w:val="20"/>
        </w:rPr>
        <w:t>121 000,00</w:t>
      </w:r>
      <w:r>
        <w:rPr>
          <w:rFonts w:ascii="Arial" w:hAnsi="Arial" w:cs="Arial"/>
          <w:bCs/>
          <w:sz w:val="20"/>
          <w:szCs w:val="20"/>
        </w:rPr>
        <w:t xml:space="preserve"> Kč s DPH. </w:t>
      </w:r>
    </w:p>
    <w:p w14:paraId="6E5BEF84" w14:textId="77777777" w:rsidR="00300BBE" w:rsidRDefault="00300BBE" w:rsidP="002E6E43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Nezpůsobilé výdaje v celkové výši </w:t>
      </w:r>
      <w:r>
        <w:rPr>
          <w:rFonts w:ascii="Arial" w:hAnsi="Arial" w:cs="Arial"/>
          <w:b/>
          <w:sz w:val="20"/>
          <w:szCs w:val="20"/>
        </w:rPr>
        <w:t>16 098 732,00</w:t>
      </w:r>
      <w:r>
        <w:rPr>
          <w:rFonts w:ascii="Arial" w:hAnsi="Arial" w:cs="Arial"/>
          <w:bCs/>
          <w:sz w:val="20"/>
          <w:szCs w:val="20"/>
        </w:rPr>
        <w:t xml:space="preserve"> Kč s DPH představují částku za možné vícepráce ve výši </w:t>
      </w:r>
      <w:r>
        <w:rPr>
          <w:rFonts w:ascii="Arial" w:hAnsi="Arial" w:cs="Arial"/>
          <w:b/>
          <w:i/>
          <w:iCs/>
          <w:sz w:val="20"/>
          <w:szCs w:val="20"/>
        </w:rPr>
        <w:t>15 000 000,00</w:t>
      </w:r>
      <w:r>
        <w:rPr>
          <w:rFonts w:ascii="Arial" w:hAnsi="Arial" w:cs="Arial"/>
          <w:bCs/>
          <w:sz w:val="20"/>
          <w:szCs w:val="20"/>
        </w:rPr>
        <w:t xml:space="preserve"> Kč s DPH, částku za archeologický dozor ve výši </w:t>
      </w:r>
      <w:r>
        <w:rPr>
          <w:rFonts w:ascii="Arial" w:hAnsi="Arial" w:cs="Arial"/>
          <w:b/>
          <w:i/>
          <w:iCs/>
          <w:sz w:val="20"/>
          <w:szCs w:val="20"/>
        </w:rPr>
        <w:t>23 000,00</w:t>
      </w:r>
      <w:r>
        <w:rPr>
          <w:rFonts w:ascii="Arial" w:hAnsi="Arial" w:cs="Arial"/>
          <w:bCs/>
          <w:sz w:val="20"/>
          <w:szCs w:val="20"/>
        </w:rPr>
        <w:t xml:space="preserve"> Kč s DPH, částku za bezpečnostní audit ve výši </w:t>
      </w:r>
      <w:r>
        <w:rPr>
          <w:rFonts w:ascii="Arial" w:hAnsi="Arial" w:cs="Arial"/>
          <w:b/>
          <w:i/>
          <w:iCs/>
          <w:sz w:val="20"/>
          <w:szCs w:val="20"/>
        </w:rPr>
        <w:t>55 660,00</w:t>
      </w:r>
      <w:r>
        <w:rPr>
          <w:rFonts w:ascii="Arial" w:hAnsi="Arial" w:cs="Arial"/>
          <w:bCs/>
          <w:sz w:val="20"/>
          <w:szCs w:val="20"/>
        </w:rPr>
        <w:t xml:space="preserve"> Kč s DPH, částku za geometrický plán ve výši </w:t>
      </w:r>
      <w:r>
        <w:rPr>
          <w:rFonts w:ascii="Arial" w:hAnsi="Arial" w:cs="Arial"/>
          <w:b/>
          <w:i/>
          <w:iCs/>
          <w:sz w:val="20"/>
          <w:szCs w:val="20"/>
        </w:rPr>
        <w:t>113 740,00</w:t>
      </w:r>
      <w:r>
        <w:rPr>
          <w:rFonts w:ascii="Arial" w:hAnsi="Arial" w:cs="Arial"/>
          <w:bCs/>
          <w:sz w:val="20"/>
          <w:szCs w:val="20"/>
        </w:rPr>
        <w:t xml:space="preserve"> Kč s DPH, částku za trvalé vynětí ze ZPF ve výši </w:t>
      </w:r>
      <w:r>
        <w:rPr>
          <w:rFonts w:ascii="Arial" w:hAnsi="Arial" w:cs="Arial"/>
          <w:b/>
          <w:i/>
          <w:iCs/>
          <w:sz w:val="20"/>
          <w:szCs w:val="20"/>
        </w:rPr>
        <w:t>825 262,00</w:t>
      </w:r>
      <w:r>
        <w:rPr>
          <w:rFonts w:ascii="Arial" w:hAnsi="Arial" w:cs="Arial"/>
          <w:bCs/>
          <w:sz w:val="20"/>
          <w:szCs w:val="20"/>
        </w:rPr>
        <w:t xml:space="preserve"> Kč s DPH a částky za vytýčení hranic pozemků ve výši </w:t>
      </w:r>
      <w:r>
        <w:rPr>
          <w:rFonts w:ascii="Arial" w:hAnsi="Arial" w:cs="Arial"/>
          <w:b/>
          <w:i/>
          <w:iCs/>
          <w:sz w:val="20"/>
          <w:szCs w:val="20"/>
        </w:rPr>
        <w:t>81 070,00</w:t>
      </w:r>
      <w:r>
        <w:rPr>
          <w:rFonts w:ascii="Arial" w:hAnsi="Arial" w:cs="Arial"/>
          <w:bCs/>
          <w:sz w:val="20"/>
          <w:szCs w:val="20"/>
        </w:rPr>
        <w:t xml:space="preserve"> Kč s DPH.</w:t>
      </w:r>
    </w:p>
    <w:p w14:paraId="58008367" w14:textId="77777777" w:rsidR="00300BBE" w:rsidRDefault="00300BBE" w:rsidP="002E6E43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Všechny částky za výše uvedené výdaje jsou částkami skutečnými mimo odhadované částky za možné vícepráce. </w:t>
      </w:r>
    </w:p>
    <w:p w14:paraId="26BDE85A" w14:textId="77777777" w:rsidR="00300BBE" w:rsidRDefault="00300BBE" w:rsidP="002E6E43">
      <w:pPr>
        <w:pStyle w:val="KUJKnormal"/>
      </w:pPr>
    </w:p>
    <w:p w14:paraId="5E8787AE" w14:textId="77777777" w:rsidR="00300BBE" w:rsidRDefault="00300BBE" w:rsidP="002E6E43">
      <w:pPr>
        <w:pStyle w:val="KUJKnormal"/>
      </w:pPr>
      <w:r>
        <w:t>Obsah toto materiálu byl projednán v radě kraje dne 11.4.2024 pod č. usnesení 432/2024/RK-87.</w:t>
      </w:r>
    </w:p>
    <w:p w14:paraId="106D06E4" w14:textId="77777777" w:rsidR="00300BBE" w:rsidRDefault="00300BBE" w:rsidP="006D28CB">
      <w:pPr>
        <w:pStyle w:val="KUJKnormal"/>
      </w:pPr>
    </w:p>
    <w:p w14:paraId="41AE02CA" w14:textId="77777777" w:rsidR="00300BBE" w:rsidRDefault="00300BBE" w:rsidP="006D28CB">
      <w:pPr>
        <w:pStyle w:val="KUJKnormal"/>
      </w:pPr>
      <w:r>
        <w:t>Finanční nároky a krytí:</w:t>
      </w:r>
    </w:p>
    <w:p w14:paraId="4BADCE6F" w14:textId="77777777" w:rsidR="00300BBE" w:rsidRDefault="00300BBE" w:rsidP="002E6E43">
      <w:pPr>
        <w:pStyle w:val="KUJKnormal"/>
        <w:rPr>
          <w:szCs w:val="20"/>
        </w:rPr>
      </w:pPr>
      <w:r>
        <w:t xml:space="preserve">Celkové výdaje projektu činí </w:t>
      </w:r>
      <w:r>
        <w:rPr>
          <w:b/>
          <w:bCs/>
        </w:rPr>
        <w:t>83 228 204,11</w:t>
      </w:r>
      <w:r>
        <w:t xml:space="preserve"> Kč, z toho: </w:t>
      </w:r>
    </w:p>
    <w:p w14:paraId="65D54400" w14:textId="77777777" w:rsidR="00300BBE" w:rsidRDefault="00300BBE" w:rsidP="002E6E43">
      <w:pPr>
        <w:pStyle w:val="KUJKnormal"/>
      </w:pPr>
      <w:r>
        <w:t xml:space="preserve">- částka způsobilých výdajů ve výši </w:t>
      </w:r>
      <w:r>
        <w:rPr>
          <w:b/>
          <w:bCs/>
        </w:rPr>
        <w:t xml:space="preserve">67 129 472,11 </w:t>
      </w:r>
      <w:r>
        <w:t>Kč, z toho:</w:t>
      </w:r>
    </w:p>
    <w:p w14:paraId="419E9F5F" w14:textId="77777777" w:rsidR="00300BBE" w:rsidRDefault="00300BBE" w:rsidP="002E6E43">
      <w:pPr>
        <w:pStyle w:val="KUJKnormal"/>
      </w:pPr>
      <w:r>
        <w:t xml:space="preserve">  - 15% kofinancování </w:t>
      </w:r>
      <w:r>
        <w:rPr>
          <w:b/>
          <w:bCs/>
        </w:rPr>
        <w:t xml:space="preserve">10 069 420,82 </w:t>
      </w:r>
      <w:r>
        <w:t>Kč,</w:t>
      </w:r>
    </w:p>
    <w:p w14:paraId="7D54E483" w14:textId="77777777" w:rsidR="00300BBE" w:rsidRDefault="00300BBE" w:rsidP="002E6E43">
      <w:pPr>
        <w:pStyle w:val="KUJKnormal"/>
      </w:pPr>
      <w:r>
        <w:t xml:space="preserve">  - 85% předfinancování </w:t>
      </w:r>
      <w:r>
        <w:rPr>
          <w:b/>
          <w:bCs/>
        </w:rPr>
        <w:t>57 060 051,29</w:t>
      </w:r>
      <w:r>
        <w:t xml:space="preserve"> Kč,</w:t>
      </w:r>
    </w:p>
    <w:p w14:paraId="3CCF7019" w14:textId="77777777" w:rsidR="00300BBE" w:rsidRDefault="00300BBE" w:rsidP="002E6E43">
      <w:pPr>
        <w:pStyle w:val="KUJKnormal"/>
      </w:pPr>
      <w:r>
        <w:t xml:space="preserve">- částka nezpůsobilých výdajů ve výši </w:t>
      </w:r>
      <w:r>
        <w:rPr>
          <w:b/>
          <w:bCs/>
        </w:rPr>
        <w:t xml:space="preserve">16 098 732,00 </w:t>
      </w:r>
      <w:r>
        <w:t xml:space="preserve">Kč.  </w:t>
      </w:r>
    </w:p>
    <w:p w14:paraId="7D0C4851" w14:textId="77777777" w:rsidR="00300BBE" w:rsidRDefault="00300BBE" w:rsidP="002E6E43">
      <w:pPr>
        <w:pStyle w:val="KUJKnormal"/>
      </w:pPr>
      <w:r>
        <w:t>V rozpočtu ODSH je na akci v r. 2024 alokováno celkem 111,121 mil. Kč (§2212, pol. 6121, ORJ 1051, ORG 9115138000000); po schválení žádosti bude na základě schváleného FEP rozpočtově upraveno.</w:t>
      </w:r>
    </w:p>
    <w:p w14:paraId="5B3F5871" w14:textId="77777777" w:rsidR="00300BBE" w:rsidRDefault="00300BBE" w:rsidP="006D28CB">
      <w:pPr>
        <w:pStyle w:val="KUJKnormal"/>
      </w:pPr>
    </w:p>
    <w:p w14:paraId="2830BB32" w14:textId="77777777" w:rsidR="00300BBE" w:rsidRDefault="00300BBE" w:rsidP="006D28CB">
      <w:pPr>
        <w:pStyle w:val="KUJKnormal"/>
      </w:pPr>
    </w:p>
    <w:p w14:paraId="708A4653" w14:textId="77777777" w:rsidR="00300BBE" w:rsidRDefault="00300BBE" w:rsidP="006D28CB">
      <w:pPr>
        <w:pStyle w:val="KUJKnormal"/>
      </w:pPr>
      <w:r>
        <w:t>Vyjádření správce rozpočtu:</w:t>
      </w:r>
    </w:p>
    <w:p w14:paraId="03B8E434" w14:textId="77777777" w:rsidR="00300BBE" w:rsidRDefault="00300BBE" w:rsidP="00BC22F8">
      <w:pPr>
        <w:pStyle w:val="KUJKnormal"/>
      </w:pP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rozpočtovým krytím z ODSH.</w:t>
      </w:r>
    </w:p>
    <w:p w14:paraId="671750B7" w14:textId="77777777" w:rsidR="00300BBE" w:rsidRDefault="00300BBE" w:rsidP="00BC22F8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</w:p>
    <w:p w14:paraId="048074AB" w14:textId="77777777" w:rsidR="00300BBE" w:rsidRDefault="00300BBE" w:rsidP="006D28CB">
      <w:pPr>
        <w:pStyle w:val="KUJKnormal"/>
      </w:pPr>
    </w:p>
    <w:p w14:paraId="4F088515" w14:textId="77777777" w:rsidR="00300BBE" w:rsidRDefault="00300BBE" w:rsidP="006D28CB">
      <w:pPr>
        <w:pStyle w:val="KUJKnormal"/>
      </w:pPr>
    </w:p>
    <w:p w14:paraId="14E662FA" w14:textId="77777777" w:rsidR="00300BBE" w:rsidRDefault="00300BBE" w:rsidP="006D28CB">
      <w:pPr>
        <w:pStyle w:val="KUJKnormal"/>
      </w:pPr>
      <w:r>
        <w:t>Návrh projednán (stanoviska): nevyžaduje se</w:t>
      </w:r>
    </w:p>
    <w:p w14:paraId="656FDD52" w14:textId="77777777" w:rsidR="00300BBE" w:rsidRDefault="00300BBE" w:rsidP="006D28CB">
      <w:pPr>
        <w:pStyle w:val="KUJKnormal"/>
      </w:pPr>
    </w:p>
    <w:p w14:paraId="0F8A7E17" w14:textId="77777777" w:rsidR="00300BBE" w:rsidRDefault="00300BBE" w:rsidP="006D28CB">
      <w:pPr>
        <w:pStyle w:val="KUJKnormal"/>
      </w:pPr>
    </w:p>
    <w:p w14:paraId="4F13F007" w14:textId="77777777" w:rsidR="00300BBE" w:rsidRPr="007939A8" w:rsidRDefault="00300BBE" w:rsidP="006D28CB">
      <w:pPr>
        <w:pStyle w:val="KUJKtucny"/>
      </w:pPr>
      <w:r w:rsidRPr="007939A8">
        <w:t>PŘÍLOHY:</w:t>
      </w:r>
    </w:p>
    <w:p w14:paraId="4AEC14CF" w14:textId="77777777" w:rsidR="00300BBE" w:rsidRPr="00B52AA9" w:rsidRDefault="00300BBE" w:rsidP="008330D2">
      <w:pPr>
        <w:pStyle w:val="KUJKcislovany"/>
      </w:pPr>
      <w:r>
        <w:t>Formulář evropského projektu</w:t>
      </w:r>
      <w:r w:rsidRPr="0081756D">
        <w:t xml:space="preserve"> (</w:t>
      </w:r>
      <w:r>
        <w:t>ZK240425_145_př. 1.xls</w:t>
      </w:r>
      <w:r w:rsidRPr="0081756D">
        <w:t>)</w:t>
      </w:r>
    </w:p>
    <w:p w14:paraId="5DE721FD" w14:textId="77777777" w:rsidR="00300BBE" w:rsidRDefault="00300BBE" w:rsidP="006D28CB">
      <w:pPr>
        <w:pStyle w:val="KUJKnormal"/>
      </w:pPr>
    </w:p>
    <w:p w14:paraId="070FCA1E" w14:textId="77777777" w:rsidR="00300BBE" w:rsidRDefault="00300BBE" w:rsidP="006D28CB">
      <w:pPr>
        <w:pStyle w:val="KUJKnormal"/>
      </w:pPr>
    </w:p>
    <w:p w14:paraId="03C9A743" w14:textId="77777777" w:rsidR="00300BBE" w:rsidRPr="007C1EE7" w:rsidRDefault="00300BBE" w:rsidP="006D28CB">
      <w:pPr>
        <w:pStyle w:val="KUJKtucny"/>
      </w:pPr>
      <w:r w:rsidRPr="007C1EE7">
        <w:t>Zodpovídá:</w:t>
      </w:r>
      <w:r>
        <w:tab/>
      </w:r>
      <w:r w:rsidRPr="002E6E43">
        <w:rPr>
          <w:b w:val="0"/>
        </w:rPr>
        <w:t>vedoucí ODSH – JUDr. Andrea Tetourová</w:t>
      </w:r>
    </w:p>
    <w:p w14:paraId="6A2257F4" w14:textId="77777777" w:rsidR="00300BBE" w:rsidRDefault="00300BBE" w:rsidP="006D28CB">
      <w:pPr>
        <w:pStyle w:val="KUJKnormal"/>
      </w:pPr>
    </w:p>
    <w:p w14:paraId="429528B2" w14:textId="77777777" w:rsidR="00300BBE" w:rsidRDefault="00300BBE" w:rsidP="006D28CB">
      <w:pPr>
        <w:pStyle w:val="KUJKnormal"/>
      </w:pPr>
    </w:p>
    <w:p w14:paraId="6F471492" w14:textId="77777777" w:rsidR="00300BBE" w:rsidRDefault="00300BBE" w:rsidP="006D28CB">
      <w:pPr>
        <w:pStyle w:val="KUJKnormal"/>
      </w:pPr>
      <w:r>
        <w:t>Termín kontroly:</w:t>
      </w:r>
      <w:r>
        <w:tab/>
        <w:t>31. 12. 2024</w:t>
      </w:r>
    </w:p>
    <w:p w14:paraId="14ED1210" w14:textId="77777777" w:rsidR="00300BBE" w:rsidRDefault="00300BBE" w:rsidP="006D28CB">
      <w:pPr>
        <w:pStyle w:val="KUJKnormal"/>
      </w:pPr>
      <w:r>
        <w:t>Termín splnění:</w:t>
      </w:r>
      <w:r>
        <w:tab/>
      </w:r>
      <w:r>
        <w:tab/>
        <w:t>31. 08. 2025</w:t>
      </w:r>
    </w:p>
    <w:p w14:paraId="65DAAE60" w14:textId="77777777" w:rsidR="00300BBE" w:rsidRDefault="00300BB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9E939" w14:textId="77777777" w:rsidR="00300BBE" w:rsidRDefault="00300BBE" w:rsidP="00300BBE">
    <w:r>
      <w:rPr>
        <w:noProof/>
      </w:rPr>
      <w:pict w14:anchorId="17E1480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8FE2FC0" w14:textId="77777777" w:rsidR="00300BBE" w:rsidRPr="005F485E" w:rsidRDefault="00300BBE" w:rsidP="00300BB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A7AA03B" w14:textId="77777777" w:rsidR="00300BBE" w:rsidRPr="005F485E" w:rsidRDefault="00300BBE" w:rsidP="00300BB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894C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484EEDF" w14:textId="77777777" w:rsidR="00300BBE" w:rsidRDefault="00300BBE" w:rsidP="00300BBE">
    <w:r>
      <w:pict w14:anchorId="3DA25E08">
        <v:rect id="_x0000_i1026" style="width:481.9pt;height:2pt" o:hralign="center" o:hrstd="t" o:hrnoshade="t" o:hr="t" fillcolor="black" stroked="f"/>
      </w:pict>
    </w:r>
  </w:p>
  <w:p w14:paraId="1B111B97" w14:textId="77777777" w:rsidR="00300BBE" w:rsidRPr="00300BBE" w:rsidRDefault="00300BBE" w:rsidP="00300B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243806">
    <w:abstractNumId w:val="1"/>
  </w:num>
  <w:num w:numId="2" w16cid:durableId="1957059891">
    <w:abstractNumId w:val="2"/>
  </w:num>
  <w:num w:numId="3" w16cid:durableId="246380965">
    <w:abstractNumId w:val="9"/>
  </w:num>
  <w:num w:numId="4" w16cid:durableId="1528982653">
    <w:abstractNumId w:val="7"/>
  </w:num>
  <w:num w:numId="5" w16cid:durableId="1096289605">
    <w:abstractNumId w:val="0"/>
  </w:num>
  <w:num w:numId="6" w16cid:durableId="1263107990">
    <w:abstractNumId w:val="3"/>
  </w:num>
  <w:num w:numId="7" w16cid:durableId="1091005281">
    <w:abstractNumId w:val="6"/>
  </w:num>
  <w:num w:numId="8" w16cid:durableId="1181160367">
    <w:abstractNumId w:val="4"/>
  </w:num>
  <w:num w:numId="9" w16cid:durableId="46417633">
    <w:abstractNumId w:val="5"/>
  </w:num>
  <w:num w:numId="10" w16cid:durableId="1872837021">
    <w:abstractNumId w:val="8"/>
  </w:num>
  <w:num w:numId="11" w16cid:durableId="174845444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0BBE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3A61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76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300BBE"/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00BBE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2024-05-23T08:26:00Z</dcterms:created>
  <dcterms:modified xsi:type="dcterms:W3CDTF">2024-05-23T08:26:00Z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6531163</vt:i4>
  </property>
  <property fmtid="{D5CDD505-2E9C-101B-9397-08002B2CF9AE}" pid="5" name="UlozitJako">
    <vt:lpwstr>C:\Users\mrazkova\AppData\Local\Temp\iU97953432\Zastupitelstvo\2024-04-25\Navrhy\145-ZK-24.</vt:lpwstr>
  </property>
  <property fmtid="{D5CDD505-2E9C-101B-9397-08002B2CF9AE}" pid="6" name="Zpracovat">
    <vt:bool>false</vt:bool>
  </property>
</Properties>
</file>