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9350E8" w14:paraId="5DE43669" w14:textId="77777777" w:rsidTr="0043512A">
        <w:trPr>
          <w:trHeight w:hRule="exact" w:val="397"/>
        </w:trPr>
        <w:tc>
          <w:tcPr>
            <w:tcW w:w="2376" w:type="dxa"/>
            <w:hideMark/>
          </w:tcPr>
          <w:p w14:paraId="1123B1D0" w14:textId="77777777" w:rsidR="009350E8" w:rsidRDefault="009350E8" w:rsidP="00970720">
            <w:pPr>
              <w:pStyle w:val="KUJKtucny"/>
            </w:pPr>
            <w:r>
              <w:t>Datum jednání:</w:t>
            </w:r>
          </w:p>
        </w:tc>
        <w:tc>
          <w:tcPr>
            <w:tcW w:w="3828" w:type="dxa"/>
            <w:hideMark/>
          </w:tcPr>
          <w:p w14:paraId="2169375B" w14:textId="77777777" w:rsidR="009350E8" w:rsidRDefault="009350E8" w:rsidP="00970720">
            <w:pPr>
              <w:pStyle w:val="KUJKnormal"/>
            </w:pPr>
            <w:r>
              <w:t>14. 12. 2023</w:t>
            </w:r>
          </w:p>
        </w:tc>
        <w:tc>
          <w:tcPr>
            <w:tcW w:w="2126" w:type="dxa"/>
            <w:hideMark/>
          </w:tcPr>
          <w:p w14:paraId="5C7D59C6" w14:textId="77777777" w:rsidR="009350E8" w:rsidRDefault="009350E8" w:rsidP="00970720">
            <w:pPr>
              <w:pStyle w:val="KUJKtucny"/>
            </w:pPr>
            <w:r>
              <w:t>Bod programu:</w:t>
            </w:r>
          </w:p>
        </w:tc>
        <w:tc>
          <w:tcPr>
            <w:tcW w:w="850" w:type="dxa"/>
          </w:tcPr>
          <w:p w14:paraId="4FE9F837" w14:textId="77777777" w:rsidR="009350E8" w:rsidRDefault="009350E8" w:rsidP="00970720">
            <w:pPr>
              <w:pStyle w:val="KUJKnormal"/>
            </w:pPr>
          </w:p>
        </w:tc>
      </w:tr>
      <w:tr w:rsidR="009350E8" w14:paraId="554FCC8B" w14:textId="77777777" w:rsidTr="0043512A">
        <w:trPr>
          <w:cantSplit/>
          <w:trHeight w:hRule="exact" w:val="397"/>
        </w:trPr>
        <w:tc>
          <w:tcPr>
            <w:tcW w:w="2376" w:type="dxa"/>
            <w:hideMark/>
          </w:tcPr>
          <w:p w14:paraId="17085195" w14:textId="77777777" w:rsidR="009350E8" w:rsidRDefault="009350E8" w:rsidP="00970720">
            <w:pPr>
              <w:pStyle w:val="KUJKtucny"/>
            </w:pPr>
            <w:r>
              <w:t>Číslo návrhu:</w:t>
            </w:r>
          </w:p>
        </w:tc>
        <w:tc>
          <w:tcPr>
            <w:tcW w:w="6804" w:type="dxa"/>
            <w:gridSpan w:val="3"/>
            <w:hideMark/>
          </w:tcPr>
          <w:p w14:paraId="352E8923" w14:textId="77777777" w:rsidR="009350E8" w:rsidRDefault="009350E8" w:rsidP="00970720">
            <w:pPr>
              <w:pStyle w:val="KUJKnormal"/>
            </w:pPr>
            <w:r>
              <w:t>455/ZK/23</w:t>
            </w:r>
          </w:p>
        </w:tc>
      </w:tr>
      <w:tr w:rsidR="009350E8" w14:paraId="4D63D97C" w14:textId="77777777" w:rsidTr="0043512A">
        <w:trPr>
          <w:trHeight w:val="397"/>
        </w:trPr>
        <w:tc>
          <w:tcPr>
            <w:tcW w:w="2376" w:type="dxa"/>
          </w:tcPr>
          <w:p w14:paraId="7166DF9D" w14:textId="77777777" w:rsidR="009350E8" w:rsidRDefault="009350E8" w:rsidP="00970720"/>
          <w:p w14:paraId="129D7230" w14:textId="77777777" w:rsidR="009350E8" w:rsidRDefault="009350E8" w:rsidP="00970720">
            <w:pPr>
              <w:pStyle w:val="KUJKtucny"/>
            </w:pPr>
            <w:r>
              <w:t>Název bodu:</w:t>
            </w:r>
          </w:p>
        </w:tc>
        <w:tc>
          <w:tcPr>
            <w:tcW w:w="6804" w:type="dxa"/>
            <w:gridSpan w:val="3"/>
          </w:tcPr>
          <w:p w14:paraId="3D32617F" w14:textId="77777777" w:rsidR="009350E8" w:rsidRDefault="009350E8" w:rsidP="00970720"/>
          <w:p w14:paraId="50D3189B" w14:textId="77777777" w:rsidR="009350E8" w:rsidRDefault="009350E8" w:rsidP="00970720">
            <w:pPr>
              <w:pStyle w:val="KUJKtucny"/>
              <w:rPr>
                <w:sz w:val="22"/>
                <w:szCs w:val="22"/>
              </w:rPr>
            </w:pPr>
            <w:r>
              <w:rPr>
                <w:sz w:val="22"/>
                <w:szCs w:val="22"/>
              </w:rPr>
              <w:t>Úprava závazkových vztahů se společností Jihočeské letiště České Budějovice a. s.</w:t>
            </w:r>
          </w:p>
        </w:tc>
      </w:tr>
    </w:tbl>
    <w:p w14:paraId="0A9B4876" w14:textId="77777777" w:rsidR="009350E8" w:rsidRDefault="009350E8" w:rsidP="0043512A">
      <w:pPr>
        <w:pStyle w:val="KUJKnormal"/>
        <w:rPr>
          <w:b/>
          <w:bCs/>
        </w:rPr>
      </w:pPr>
      <w:r>
        <w:rPr>
          <w:b/>
          <w:bCs/>
        </w:rPr>
        <w:pict w14:anchorId="2BDE7B0F">
          <v:rect id="_x0000_i1029" style="width:453.6pt;height:1.5pt" o:hralign="center" o:hrstd="t" o:hrnoshade="t" o:hr="t" fillcolor="black" stroked="f"/>
        </w:pict>
      </w:r>
    </w:p>
    <w:p w14:paraId="02378540" w14:textId="77777777" w:rsidR="009350E8" w:rsidRDefault="009350E8" w:rsidP="0043512A">
      <w:pPr>
        <w:pStyle w:val="KUJKnormal"/>
      </w:pPr>
    </w:p>
    <w:p w14:paraId="26FFAC70" w14:textId="77777777" w:rsidR="009350E8" w:rsidRDefault="009350E8" w:rsidP="0043512A"/>
    <w:tbl>
      <w:tblPr>
        <w:tblW w:w="0" w:type="auto"/>
        <w:tblCellMar>
          <w:left w:w="70" w:type="dxa"/>
          <w:right w:w="70" w:type="dxa"/>
        </w:tblCellMar>
        <w:tblLook w:val="04A0" w:firstRow="1" w:lastRow="0" w:firstColumn="1" w:lastColumn="0" w:noHBand="0" w:noVBand="1"/>
      </w:tblPr>
      <w:tblGrid>
        <w:gridCol w:w="2350"/>
        <w:gridCol w:w="6862"/>
      </w:tblGrid>
      <w:tr w:rsidR="009350E8" w14:paraId="1776DF46" w14:textId="77777777" w:rsidTr="002559B8">
        <w:trPr>
          <w:trHeight w:val="397"/>
        </w:trPr>
        <w:tc>
          <w:tcPr>
            <w:tcW w:w="2350" w:type="dxa"/>
            <w:hideMark/>
          </w:tcPr>
          <w:p w14:paraId="39870368" w14:textId="77777777" w:rsidR="009350E8" w:rsidRDefault="009350E8" w:rsidP="002559B8">
            <w:pPr>
              <w:pStyle w:val="KUJKtucny"/>
            </w:pPr>
            <w:r>
              <w:t>Předkladatel:</w:t>
            </w:r>
          </w:p>
        </w:tc>
        <w:tc>
          <w:tcPr>
            <w:tcW w:w="6862" w:type="dxa"/>
          </w:tcPr>
          <w:p w14:paraId="0B9A788A" w14:textId="77777777" w:rsidR="009350E8" w:rsidRDefault="009350E8" w:rsidP="002559B8">
            <w:pPr>
              <w:pStyle w:val="KUJKnormal"/>
            </w:pPr>
            <w:r>
              <w:t>Mgr. Bc. Antonín Krák</w:t>
            </w:r>
          </w:p>
          <w:p w14:paraId="400EEBBF" w14:textId="77777777" w:rsidR="009350E8" w:rsidRDefault="009350E8" w:rsidP="002559B8"/>
        </w:tc>
      </w:tr>
      <w:tr w:rsidR="009350E8" w14:paraId="1CA940E3" w14:textId="77777777" w:rsidTr="002559B8">
        <w:trPr>
          <w:trHeight w:val="397"/>
        </w:trPr>
        <w:tc>
          <w:tcPr>
            <w:tcW w:w="2350" w:type="dxa"/>
          </w:tcPr>
          <w:p w14:paraId="46602E96" w14:textId="77777777" w:rsidR="009350E8" w:rsidRDefault="009350E8" w:rsidP="002559B8">
            <w:pPr>
              <w:pStyle w:val="KUJKtucny"/>
            </w:pPr>
            <w:r>
              <w:t>Zpracoval:</w:t>
            </w:r>
          </w:p>
          <w:p w14:paraId="72E80622" w14:textId="77777777" w:rsidR="009350E8" w:rsidRDefault="009350E8" w:rsidP="002559B8"/>
        </w:tc>
        <w:tc>
          <w:tcPr>
            <w:tcW w:w="6862" w:type="dxa"/>
            <w:hideMark/>
          </w:tcPr>
          <w:p w14:paraId="4A4037CB" w14:textId="77777777" w:rsidR="009350E8" w:rsidRDefault="009350E8" w:rsidP="002559B8">
            <w:pPr>
              <w:pStyle w:val="KUJKnormal"/>
            </w:pPr>
            <w:r>
              <w:t>ODSH</w:t>
            </w:r>
          </w:p>
        </w:tc>
      </w:tr>
      <w:tr w:rsidR="009350E8" w14:paraId="27C1C0A3" w14:textId="77777777" w:rsidTr="002559B8">
        <w:trPr>
          <w:trHeight w:val="397"/>
        </w:trPr>
        <w:tc>
          <w:tcPr>
            <w:tcW w:w="2350" w:type="dxa"/>
          </w:tcPr>
          <w:p w14:paraId="242B0BA6" w14:textId="77777777" w:rsidR="009350E8" w:rsidRPr="009715F9" w:rsidRDefault="009350E8" w:rsidP="002559B8">
            <w:pPr>
              <w:pStyle w:val="KUJKnormal"/>
              <w:rPr>
                <w:b/>
              </w:rPr>
            </w:pPr>
            <w:r w:rsidRPr="009715F9">
              <w:rPr>
                <w:b/>
              </w:rPr>
              <w:t>Vedoucí odboru:</w:t>
            </w:r>
          </w:p>
          <w:p w14:paraId="226AA836" w14:textId="77777777" w:rsidR="009350E8" w:rsidRDefault="009350E8" w:rsidP="002559B8"/>
        </w:tc>
        <w:tc>
          <w:tcPr>
            <w:tcW w:w="6862" w:type="dxa"/>
            <w:hideMark/>
          </w:tcPr>
          <w:p w14:paraId="70C3EF57" w14:textId="77777777" w:rsidR="009350E8" w:rsidRDefault="009350E8" w:rsidP="002559B8">
            <w:pPr>
              <w:pStyle w:val="KUJKnormal"/>
            </w:pPr>
            <w:r>
              <w:t>JUDr. Andrea Tetourová</w:t>
            </w:r>
          </w:p>
        </w:tc>
      </w:tr>
    </w:tbl>
    <w:p w14:paraId="4F07F392" w14:textId="77777777" w:rsidR="009350E8" w:rsidRDefault="009350E8" w:rsidP="0043512A">
      <w:pPr>
        <w:pStyle w:val="KUJKnormal"/>
      </w:pPr>
    </w:p>
    <w:p w14:paraId="7F181761" w14:textId="77777777" w:rsidR="009350E8" w:rsidRPr="0052161F" w:rsidRDefault="009350E8" w:rsidP="0043512A">
      <w:pPr>
        <w:pStyle w:val="KUJKtucny"/>
      </w:pPr>
      <w:r w:rsidRPr="0052161F">
        <w:t>NÁVRH USNESENÍ</w:t>
      </w:r>
    </w:p>
    <w:p w14:paraId="5A45E14B" w14:textId="77777777" w:rsidR="009350E8" w:rsidRDefault="009350E8" w:rsidP="0043512A">
      <w:pPr>
        <w:pStyle w:val="KUJKnormal"/>
        <w:rPr>
          <w:rFonts w:ascii="Calibri" w:hAnsi="Calibri" w:cs="Calibri"/>
          <w:sz w:val="12"/>
          <w:szCs w:val="12"/>
        </w:rPr>
      </w:pPr>
      <w:bookmarkStart w:id="0" w:name="US_ZaVeVeci"/>
      <w:bookmarkEnd w:id="0"/>
    </w:p>
    <w:p w14:paraId="45E0DA3B" w14:textId="77777777" w:rsidR="009350E8" w:rsidRPr="00841DFC" w:rsidRDefault="009350E8" w:rsidP="0043512A">
      <w:pPr>
        <w:pStyle w:val="KUJKPolozka"/>
      </w:pPr>
      <w:r w:rsidRPr="00841DFC">
        <w:t>Zastupitelstvo Jihočeského kraje</w:t>
      </w:r>
    </w:p>
    <w:p w14:paraId="5E20D70F" w14:textId="77777777" w:rsidR="009350E8" w:rsidRDefault="009350E8" w:rsidP="0083789C">
      <w:pPr>
        <w:pStyle w:val="KUJKdoplnek2"/>
        <w:ind w:left="357" w:hanging="357"/>
      </w:pPr>
      <w:r w:rsidRPr="00730306">
        <w:t>bere na vědomí</w:t>
      </w:r>
    </w:p>
    <w:p w14:paraId="2CE73B2F" w14:textId="77777777" w:rsidR="009350E8" w:rsidRDefault="009350E8" w:rsidP="0043512A">
      <w:pPr>
        <w:pStyle w:val="KUJKnormal"/>
      </w:pPr>
      <w:r w:rsidRPr="0083789C">
        <w:t>žádost o poskytnutí provozní dotace ve výši 75 000 000,00</w:t>
      </w:r>
      <w:r>
        <w:t xml:space="preserve"> </w:t>
      </w:r>
      <w:r w:rsidRPr="0083789C">
        <w:t>Kč a investiční dotace ve výši 35 000 000,00</w:t>
      </w:r>
      <w:r>
        <w:t xml:space="preserve"> </w:t>
      </w:r>
      <w:r w:rsidRPr="0083789C">
        <w:t xml:space="preserve">Kč společnosti Jihočeské letiště České Budějovice a. s., IČO 26093545, pro rok 2024 na úhradu nákladů spojených se závazkem veřejné služby uvedenou v příloze č. 1 návrhu č. </w:t>
      </w:r>
      <w:r>
        <w:t>455</w:t>
      </w:r>
      <w:r w:rsidRPr="0083789C">
        <w:t>/ZK/23;</w:t>
      </w:r>
    </w:p>
    <w:p w14:paraId="3DD640A8" w14:textId="77777777" w:rsidR="009350E8" w:rsidRPr="00E10FE7" w:rsidRDefault="009350E8" w:rsidP="0083789C">
      <w:pPr>
        <w:pStyle w:val="KUJKdoplnek2"/>
      </w:pPr>
      <w:r w:rsidRPr="00AF7BAE">
        <w:t>schvaluje</w:t>
      </w:r>
    </w:p>
    <w:p w14:paraId="5F7B4AEA" w14:textId="77777777" w:rsidR="009350E8" w:rsidRDefault="009350E8" w:rsidP="0083789C">
      <w:pPr>
        <w:pStyle w:val="KUJKnormal"/>
        <w:numPr>
          <w:ilvl w:val="0"/>
          <w:numId w:val="11"/>
        </w:numPr>
      </w:pPr>
      <w:r>
        <w:t xml:space="preserve">poskytnutí provozní dotace ve výši 75 000 000,00 Kč a investiční dotace ve výši 35 000 000,00 Kč společnosti Jihočeské letiště České Budějovice a. s., IČO 26093545, pro rok 2024 na úhradu nákladů spojených se závazkem veřejné služby, </w:t>
      </w:r>
    </w:p>
    <w:p w14:paraId="17F5E3B4" w14:textId="77777777" w:rsidR="009350E8" w:rsidRDefault="009350E8" w:rsidP="0083789C">
      <w:pPr>
        <w:pStyle w:val="KUJKnormal"/>
        <w:numPr>
          <w:ilvl w:val="0"/>
          <w:numId w:val="11"/>
        </w:numPr>
      </w:pPr>
      <w:r>
        <w:t>veřejnoprávní smlouvu o poskytnutí provozní a investiční dotace uvedenou v příloze č. 2 návrhu             č. 455/ZK/23;</w:t>
      </w:r>
    </w:p>
    <w:p w14:paraId="4F2D2B0F" w14:textId="77777777" w:rsidR="009350E8" w:rsidRDefault="009350E8" w:rsidP="00C546A5">
      <w:pPr>
        <w:pStyle w:val="KUJKdoplnek2"/>
      </w:pPr>
      <w:r w:rsidRPr="0021676C">
        <w:t>ukládá</w:t>
      </w:r>
    </w:p>
    <w:p w14:paraId="12D9C0E8" w14:textId="77777777" w:rsidR="009350E8" w:rsidRDefault="009350E8" w:rsidP="0083789C">
      <w:pPr>
        <w:pStyle w:val="KUJKnormal"/>
      </w:pPr>
      <w:r>
        <w:t>JUDr. Lukáši Glaserovi, řediteli krajského úřadu, předložit k podpisu hejtmanovi kraje Smlouvu o poskytnutí provozní a investiční dotace uvedenou v části II. usnesení.</w:t>
      </w:r>
    </w:p>
    <w:p w14:paraId="46CA51AF" w14:textId="77777777" w:rsidR="009350E8" w:rsidRDefault="009350E8" w:rsidP="0083789C">
      <w:pPr>
        <w:pStyle w:val="KUJKnormal"/>
      </w:pPr>
      <w:r>
        <w:t>T: 31. 12. 2023</w:t>
      </w:r>
    </w:p>
    <w:p w14:paraId="5AAC7266" w14:textId="77777777" w:rsidR="009350E8" w:rsidRDefault="009350E8" w:rsidP="0043512A">
      <w:pPr>
        <w:pStyle w:val="KUJKnormal"/>
      </w:pPr>
    </w:p>
    <w:p w14:paraId="24ADAC5E" w14:textId="77777777" w:rsidR="009350E8" w:rsidRDefault="009350E8" w:rsidP="0083789C">
      <w:pPr>
        <w:pStyle w:val="KUJKmezeraDZ"/>
      </w:pPr>
      <w:bookmarkStart w:id="1" w:name="US_DuvodZprava"/>
      <w:bookmarkEnd w:id="1"/>
    </w:p>
    <w:p w14:paraId="35BA488C" w14:textId="77777777" w:rsidR="009350E8" w:rsidRDefault="009350E8" w:rsidP="0083789C">
      <w:pPr>
        <w:pStyle w:val="KUJKnadpisDZ"/>
      </w:pPr>
      <w:r>
        <w:t>DŮVODOVÁ ZPRÁVA</w:t>
      </w:r>
    </w:p>
    <w:p w14:paraId="467DF7C1" w14:textId="77777777" w:rsidR="009350E8" w:rsidRDefault="009350E8" w:rsidP="00E972DF">
      <w:pPr>
        <w:pStyle w:val="KUJKnormal"/>
      </w:pPr>
      <w:r>
        <w:t>Podle § 36 odst. 1 písm. c) zák. č. 129/2000 Sb., o krajích (krajské zřízení), ve znění pozdějších předpisů, je zastupitelstvu kraje vyhrazeno rozhodnout o poskytování dotací a návratných finančních výpomocí nad     200 000,- Kč v jednotlivých případech fyzickým nebo právnickým osobám v kalendářním roce a o uzavření veřejnoprávních smluv o jejich poskytnutí.</w:t>
      </w:r>
    </w:p>
    <w:p w14:paraId="6996793C" w14:textId="77777777" w:rsidR="009350E8" w:rsidRDefault="009350E8" w:rsidP="00E972DF">
      <w:pPr>
        <w:pStyle w:val="KUJKnormal"/>
      </w:pPr>
    </w:p>
    <w:p w14:paraId="4CB5CFA2" w14:textId="77777777" w:rsidR="009350E8" w:rsidRDefault="009350E8" w:rsidP="00E972DF">
      <w:pPr>
        <w:pStyle w:val="KUJKnormal"/>
      </w:pPr>
      <w:r>
        <w:t>Dne 15. 11. 2023 obdržel Jihočeský kraj žádost Jihočeského letiště České Budějovice a. s. o poskytnutí individuální dotace z rozpočtu Jihočeského kraje pro rok 2024 v předpokládaném celkovém finančním objemu 110 000 000,00 Kč, z toho neinvestiční prostředky činí 75 000 000,00 Kč a investiční prostředky činí                       35 000 000,00 Kč.</w:t>
      </w:r>
    </w:p>
    <w:p w14:paraId="75EB55B6" w14:textId="77777777" w:rsidR="009350E8" w:rsidRDefault="009350E8" w:rsidP="00E972DF">
      <w:pPr>
        <w:pStyle w:val="KUJKnormal"/>
      </w:pPr>
    </w:p>
    <w:p w14:paraId="60441B7B" w14:textId="77777777" w:rsidR="009350E8" w:rsidRDefault="009350E8" w:rsidP="00E972DF">
      <w:pPr>
        <w:pStyle w:val="KUJKnormal"/>
      </w:pPr>
      <w:r>
        <w:t xml:space="preserve">Jihočeský kraj poskytuje v současné době ze svého rozpočtu neinvestiční a investiční dotaci na úhradu nákladů spojených s provozem a rozvojem Jihočeského letiště České Budějovice a. s. Předkladatel navrhuje, aby tato finanční podpora společnosti </w:t>
      </w:r>
      <w:bookmarkStart w:id="2" w:name="_Hlk151367319"/>
      <w:r>
        <w:t xml:space="preserve">Jihočeské letiště České Budějovice a. s. </w:t>
      </w:r>
      <w:bookmarkEnd w:id="2"/>
      <w:r>
        <w:t>byla v roce 2024 poskytována z rozpočtu Jihočeského kraje  v předpokládaném celkovém finančním objemu 110 000 000,00 Kč, z toho neinvestiční transfer bude 75 000 000,00 Kč (§ 2251, pol. 5213) a investiční transfer bude                         35 000 000,00 Kč (§ 2251, pol. 6313).</w:t>
      </w:r>
    </w:p>
    <w:p w14:paraId="2FDF1AF8" w14:textId="77777777" w:rsidR="009350E8" w:rsidRDefault="009350E8" w:rsidP="00E972DF">
      <w:pPr>
        <w:pStyle w:val="KUJKnormal"/>
      </w:pPr>
    </w:p>
    <w:p w14:paraId="1D1A7B68" w14:textId="77777777" w:rsidR="009350E8" w:rsidRDefault="009350E8" w:rsidP="00E972DF">
      <w:pPr>
        <w:pStyle w:val="KUJKnormal"/>
      </w:pPr>
      <w:r>
        <w:t xml:space="preserve">Investiční transfer souvisí s plánem na současné odbavení dvou letadel, která aktuálně není schopno Jihočeské letiště České Budějovice a. s. se stávajícím vybavením zajistit. Navýšením odbavovací kapacity </w:t>
      </w:r>
      <w:r>
        <w:lastRenderedPageBreak/>
        <w:t>letiště by mohlo být odbaveno až 15 letů týdně a tím by došlo k násobnému navýšení počtu cestujících oproti 10 500 cestujících v roce 2023. Plánované investice jsou popsány v níže připojené tabulce:</w:t>
      </w:r>
    </w:p>
    <w:p w14:paraId="1BFCFA0F" w14:textId="77777777" w:rsidR="009350E8" w:rsidRDefault="009350E8" w:rsidP="00E972DF">
      <w:pPr>
        <w:pStyle w:val="KUJKnormal"/>
      </w:pPr>
    </w:p>
    <w:p w14:paraId="5311CA8B" w14:textId="77777777" w:rsidR="009350E8" w:rsidRDefault="009350E8" w:rsidP="00E972DF">
      <w:pPr>
        <w:pStyle w:val="KUJKnormal"/>
      </w:pPr>
    </w:p>
    <w:tbl>
      <w:tblPr>
        <w:tblW w:w="7660" w:type="dxa"/>
        <w:tblInd w:w="80" w:type="dxa"/>
        <w:tblCellMar>
          <w:left w:w="70" w:type="dxa"/>
          <w:right w:w="70" w:type="dxa"/>
        </w:tblCellMar>
        <w:tblLook w:val="04A0" w:firstRow="1" w:lastRow="0" w:firstColumn="1" w:lastColumn="0" w:noHBand="0" w:noVBand="1"/>
      </w:tblPr>
      <w:tblGrid>
        <w:gridCol w:w="5848"/>
        <w:gridCol w:w="1812"/>
      </w:tblGrid>
      <w:tr w:rsidR="009350E8" w14:paraId="099F29C2" w14:textId="77777777" w:rsidTr="00E972DF">
        <w:trPr>
          <w:trHeight w:val="312"/>
        </w:trPr>
        <w:tc>
          <w:tcPr>
            <w:tcW w:w="7660" w:type="dxa"/>
            <w:gridSpan w:val="2"/>
            <w:tcBorders>
              <w:top w:val="single" w:sz="8" w:space="0" w:color="auto"/>
              <w:left w:val="single" w:sz="8" w:space="0" w:color="auto"/>
              <w:bottom w:val="single" w:sz="8" w:space="0" w:color="auto"/>
              <w:right w:val="single" w:sz="8" w:space="0" w:color="000000"/>
            </w:tcBorders>
            <w:noWrap/>
            <w:vAlign w:val="center"/>
            <w:hideMark/>
          </w:tcPr>
          <w:p w14:paraId="6C942011" w14:textId="77777777" w:rsidR="009350E8" w:rsidRDefault="009350E8">
            <w:pPr>
              <w:jc w:val="center"/>
              <w:rPr>
                <w:rFonts w:ascii="Tahoma" w:eastAsia="Times New Roman" w:hAnsi="Tahoma" w:cs="Tahoma"/>
                <w:b/>
                <w:bCs/>
                <w:color w:val="000000"/>
                <w:sz w:val="20"/>
                <w:szCs w:val="20"/>
                <w:lang w:eastAsia="cs-CZ"/>
              </w:rPr>
            </w:pPr>
            <w:r>
              <w:rPr>
                <w:rFonts w:ascii="Tahoma" w:eastAsia="Times New Roman" w:hAnsi="Tahoma" w:cs="Tahoma"/>
                <w:b/>
                <w:bCs/>
                <w:color w:val="000000"/>
                <w:sz w:val="20"/>
                <w:szCs w:val="20"/>
                <w:lang w:eastAsia="cs-CZ"/>
              </w:rPr>
              <w:t xml:space="preserve">INVESTICE V ROCE 2024 </w:t>
            </w:r>
          </w:p>
        </w:tc>
      </w:tr>
      <w:tr w:rsidR="009350E8" w14:paraId="0D78EA67" w14:textId="77777777" w:rsidTr="00E972DF">
        <w:trPr>
          <w:trHeight w:val="315"/>
        </w:trPr>
        <w:tc>
          <w:tcPr>
            <w:tcW w:w="5848" w:type="dxa"/>
            <w:noWrap/>
            <w:vAlign w:val="bottom"/>
            <w:hideMark/>
          </w:tcPr>
          <w:p w14:paraId="3A11BB70" w14:textId="77777777" w:rsidR="009350E8" w:rsidRDefault="009350E8">
            <w:pPr>
              <w:rPr>
                <w:rFonts w:ascii="Tahoma" w:eastAsia="Times New Roman" w:hAnsi="Tahoma" w:cs="Tahoma"/>
                <w:b/>
                <w:bCs/>
                <w:color w:val="000000"/>
                <w:sz w:val="20"/>
                <w:szCs w:val="20"/>
                <w:lang w:eastAsia="cs-CZ"/>
              </w:rPr>
            </w:pPr>
          </w:p>
        </w:tc>
        <w:tc>
          <w:tcPr>
            <w:tcW w:w="1812" w:type="dxa"/>
            <w:noWrap/>
            <w:vAlign w:val="bottom"/>
            <w:hideMark/>
          </w:tcPr>
          <w:p w14:paraId="555087DC" w14:textId="77777777" w:rsidR="009350E8" w:rsidRDefault="009350E8">
            <w:pPr>
              <w:rPr>
                <w:rFonts w:ascii="Calibri" w:hAnsi="Calibri" w:cs="Calibri"/>
                <w:sz w:val="20"/>
                <w:szCs w:val="20"/>
                <w:lang w:eastAsia="cs-CZ"/>
              </w:rPr>
            </w:pPr>
          </w:p>
        </w:tc>
      </w:tr>
      <w:tr w:rsidR="009350E8" w14:paraId="76FBE862" w14:textId="77777777" w:rsidTr="00E972DF">
        <w:trPr>
          <w:trHeight w:val="409"/>
        </w:trPr>
        <w:tc>
          <w:tcPr>
            <w:tcW w:w="5848" w:type="dxa"/>
            <w:tcBorders>
              <w:top w:val="single" w:sz="8" w:space="0" w:color="auto"/>
              <w:left w:val="single" w:sz="8" w:space="0" w:color="auto"/>
              <w:bottom w:val="single" w:sz="8" w:space="0" w:color="auto"/>
              <w:right w:val="nil"/>
            </w:tcBorders>
            <w:vAlign w:val="center"/>
            <w:hideMark/>
          </w:tcPr>
          <w:p w14:paraId="72C51EF9" w14:textId="77777777" w:rsidR="009350E8" w:rsidRDefault="009350E8">
            <w:pPr>
              <w:jc w:val="center"/>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Nutné investice z důvodu odbavování 2 letadel souběžně</w:t>
            </w:r>
          </w:p>
        </w:tc>
        <w:tc>
          <w:tcPr>
            <w:tcW w:w="1812" w:type="dxa"/>
            <w:tcBorders>
              <w:top w:val="single" w:sz="8" w:space="0" w:color="auto"/>
              <w:left w:val="single" w:sz="4" w:space="0" w:color="auto"/>
              <w:bottom w:val="single" w:sz="8" w:space="0" w:color="auto"/>
              <w:right w:val="single" w:sz="8" w:space="0" w:color="auto"/>
            </w:tcBorders>
            <w:noWrap/>
            <w:vAlign w:val="bottom"/>
            <w:hideMark/>
          </w:tcPr>
          <w:p w14:paraId="0F422115" w14:textId="77777777" w:rsidR="009350E8" w:rsidRDefault="009350E8">
            <w:pPr>
              <w:rPr>
                <w:rFonts w:ascii="Calibri" w:eastAsia="Times New Roman" w:hAnsi="Calibri" w:cs="Calibri"/>
                <w:color w:val="000000"/>
                <w:sz w:val="22"/>
                <w:lang w:eastAsia="cs-CZ"/>
              </w:rPr>
            </w:pPr>
            <w:r>
              <w:rPr>
                <w:rFonts w:ascii="Calibri" w:eastAsia="Times New Roman" w:hAnsi="Calibri" w:cs="Calibri"/>
                <w:color w:val="000000"/>
                <w:sz w:val="22"/>
                <w:lang w:eastAsia="cs-CZ"/>
              </w:rPr>
              <w:t> </w:t>
            </w:r>
          </w:p>
        </w:tc>
      </w:tr>
      <w:tr w:rsidR="009350E8" w14:paraId="4960B358" w14:textId="77777777" w:rsidTr="00E972DF">
        <w:trPr>
          <w:trHeight w:val="315"/>
        </w:trPr>
        <w:tc>
          <w:tcPr>
            <w:tcW w:w="5848" w:type="dxa"/>
            <w:tcBorders>
              <w:top w:val="single" w:sz="8" w:space="0" w:color="auto"/>
              <w:left w:val="single" w:sz="8" w:space="0" w:color="auto"/>
              <w:bottom w:val="single" w:sz="4" w:space="0" w:color="auto"/>
              <w:right w:val="single" w:sz="4" w:space="0" w:color="auto"/>
            </w:tcBorders>
            <w:noWrap/>
            <w:vAlign w:val="center"/>
            <w:hideMark/>
          </w:tcPr>
          <w:p w14:paraId="390EFBED" w14:textId="77777777" w:rsidR="009350E8" w:rsidRDefault="009350E8">
            <w:pPr>
              <w:jc w:val="center"/>
              <w:rPr>
                <w:rFonts w:ascii="Tahoma" w:eastAsia="Times New Roman" w:hAnsi="Tahoma" w:cs="Tahoma"/>
                <w:b/>
                <w:bCs/>
                <w:color w:val="000000"/>
                <w:sz w:val="20"/>
                <w:szCs w:val="20"/>
                <w:lang w:eastAsia="cs-CZ"/>
              </w:rPr>
            </w:pPr>
            <w:r>
              <w:rPr>
                <w:rFonts w:ascii="Tahoma" w:eastAsia="Times New Roman" w:hAnsi="Tahoma" w:cs="Tahoma"/>
                <w:b/>
                <w:bCs/>
                <w:color w:val="000000"/>
                <w:sz w:val="20"/>
                <w:szCs w:val="20"/>
                <w:lang w:eastAsia="cs-CZ"/>
              </w:rPr>
              <w:t xml:space="preserve">předmět </w:t>
            </w:r>
          </w:p>
        </w:tc>
        <w:tc>
          <w:tcPr>
            <w:tcW w:w="1812" w:type="dxa"/>
            <w:tcBorders>
              <w:top w:val="single" w:sz="8" w:space="0" w:color="auto"/>
              <w:left w:val="nil"/>
              <w:bottom w:val="single" w:sz="4" w:space="0" w:color="auto"/>
              <w:right w:val="single" w:sz="8" w:space="0" w:color="auto"/>
            </w:tcBorders>
            <w:noWrap/>
            <w:vAlign w:val="center"/>
            <w:hideMark/>
          </w:tcPr>
          <w:p w14:paraId="0EE3848C" w14:textId="77777777" w:rsidR="009350E8" w:rsidRDefault="009350E8">
            <w:pPr>
              <w:jc w:val="center"/>
              <w:rPr>
                <w:rFonts w:ascii="Tahoma" w:eastAsia="Times New Roman" w:hAnsi="Tahoma" w:cs="Tahoma"/>
                <w:b/>
                <w:bCs/>
                <w:color w:val="000000"/>
                <w:sz w:val="20"/>
                <w:szCs w:val="20"/>
                <w:lang w:eastAsia="cs-CZ"/>
              </w:rPr>
            </w:pPr>
            <w:r>
              <w:rPr>
                <w:rFonts w:ascii="Tahoma" w:eastAsia="Times New Roman" w:hAnsi="Tahoma" w:cs="Tahoma"/>
                <w:b/>
                <w:bCs/>
                <w:color w:val="000000"/>
                <w:sz w:val="20"/>
                <w:szCs w:val="20"/>
                <w:lang w:eastAsia="cs-CZ"/>
              </w:rPr>
              <w:t>částka</w:t>
            </w:r>
          </w:p>
        </w:tc>
      </w:tr>
      <w:tr w:rsidR="009350E8" w14:paraId="0570B550" w14:textId="77777777" w:rsidTr="00E972DF">
        <w:trPr>
          <w:trHeight w:val="323"/>
        </w:trPr>
        <w:tc>
          <w:tcPr>
            <w:tcW w:w="5848" w:type="dxa"/>
            <w:tcBorders>
              <w:top w:val="nil"/>
              <w:left w:val="single" w:sz="8" w:space="0" w:color="auto"/>
              <w:bottom w:val="single" w:sz="4" w:space="0" w:color="auto"/>
              <w:right w:val="single" w:sz="4" w:space="0" w:color="auto"/>
            </w:tcBorders>
            <w:vAlign w:val="bottom"/>
            <w:hideMark/>
          </w:tcPr>
          <w:p w14:paraId="1DCD118F" w14:textId="77777777" w:rsidR="009350E8" w:rsidRDefault="009350E8">
            <w:pPr>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 xml:space="preserve">nákup RTG pro odbavení zavazadel </w:t>
            </w:r>
          </w:p>
        </w:tc>
        <w:tc>
          <w:tcPr>
            <w:tcW w:w="1812" w:type="dxa"/>
            <w:tcBorders>
              <w:top w:val="nil"/>
              <w:left w:val="nil"/>
              <w:bottom w:val="single" w:sz="4" w:space="0" w:color="auto"/>
              <w:right w:val="single" w:sz="8" w:space="0" w:color="auto"/>
            </w:tcBorders>
            <w:noWrap/>
            <w:vAlign w:val="bottom"/>
            <w:hideMark/>
          </w:tcPr>
          <w:p w14:paraId="5F276594" w14:textId="77777777" w:rsidR="009350E8" w:rsidRDefault="009350E8">
            <w:pPr>
              <w:jc w:val="right"/>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9 500 000,00</w:t>
            </w:r>
          </w:p>
        </w:tc>
      </w:tr>
      <w:tr w:rsidR="009350E8" w14:paraId="5C3D25B4" w14:textId="77777777" w:rsidTr="00E972DF">
        <w:trPr>
          <w:trHeight w:val="278"/>
        </w:trPr>
        <w:tc>
          <w:tcPr>
            <w:tcW w:w="5848" w:type="dxa"/>
            <w:tcBorders>
              <w:top w:val="nil"/>
              <w:left w:val="single" w:sz="8" w:space="0" w:color="auto"/>
              <w:bottom w:val="single" w:sz="4" w:space="0" w:color="auto"/>
              <w:right w:val="single" w:sz="4" w:space="0" w:color="auto"/>
            </w:tcBorders>
            <w:noWrap/>
            <w:vAlign w:val="bottom"/>
            <w:hideMark/>
          </w:tcPr>
          <w:p w14:paraId="4FE869AC" w14:textId="77777777" w:rsidR="009350E8" w:rsidRDefault="009350E8">
            <w:pPr>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hasičská cisterna letištní speciál Rosenbauer Panter (zánovní)</w:t>
            </w:r>
          </w:p>
        </w:tc>
        <w:tc>
          <w:tcPr>
            <w:tcW w:w="1812" w:type="dxa"/>
            <w:tcBorders>
              <w:top w:val="nil"/>
              <w:left w:val="nil"/>
              <w:bottom w:val="single" w:sz="4" w:space="0" w:color="auto"/>
              <w:right w:val="single" w:sz="8" w:space="0" w:color="auto"/>
            </w:tcBorders>
            <w:noWrap/>
            <w:vAlign w:val="bottom"/>
            <w:hideMark/>
          </w:tcPr>
          <w:p w14:paraId="222ABA63" w14:textId="77777777" w:rsidR="009350E8" w:rsidRDefault="009350E8">
            <w:pPr>
              <w:jc w:val="right"/>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20 000 000,00</w:t>
            </w:r>
          </w:p>
        </w:tc>
      </w:tr>
      <w:tr w:rsidR="009350E8" w14:paraId="0EC8F897" w14:textId="77777777" w:rsidTr="00E972DF">
        <w:trPr>
          <w:trHeight w:val="315"/>
        </w:trPr>
        <w:tc>
          <w:tcPr>
            <w:tcW w:w="5848" w:type="dxa"/>
            <w:tcBorders>
              <w:top w:val="nil"/>
              <w:left w:val="single" w:sz="8" w:space="0" w:color="auto"/>
              <w:bottom w:val="single" w:sz="4" w:space="0" w:color="auto"/>
              <w:right w:val="single" w:sz="4" w:space="0" w:color="auto"/>
            </w:tcBorders>
            <w:vAlign w:val="bottom"/>
            <w:hideMark/>
          </w:tcPr>
          <w:p w14:paraId="30DC5E02" w14:textId="77777777" w:rsidR="009350E8" w:rsidRDefault="009350E8">
            <w:pPr>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tažný traktůrek Schopf (zánovní)</w:t>
            </w:r>
          </w:p>
        </w:tc>
        <w:tc>
          <w:tcPr>
            <w:tcW w:w="1812" w:type="dxa"/>
            <w:tcBorders>
              <w:top w:val="nil"/>
              <w:left w:val="nil"/>
              <w:bottom w:val="single" w:sz="4" w:space="0" w:color="auto"/>
              <w:right w:val="single" w:sz="8" w:space="0" w:color="auto"/>
            </w:tcBorders>
            <w:noWrap/>
            <w:vAlign w:val="bottom"/>
            <w:hideMark/>
          </w:tcPr>
          <w:p w14:paraId="110F309F" w14:textId="77777777" w:rsidR="009350E8" w:rsidRDefault="009350E8">
            <w:pPr>
              <w:jc w:val="right"/>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1 000 000,00</w:t>
            </w:r>
          </w:p>
        </w:tc>
      </w:tr>
      <w:tr w:rsidR="009350E8" w14:paraId="7FE65B70" w14:textId="77777777" w:rsidTr="00E972DF">
        <w:trPr>
          <w:trHeight w:val="315"/>
        </w:trPr>
        <w:tc>
          <w:tcPr>
            <w:tcW w:w="5848" w:type="dxa"/>
            <w:tcBorders>
              <w:top w:val="nil"/>
              <w:left w:val="single" w:sz="8" w:space="0" w:color="auto"/>
              <w:bottom w:val="single" w:sz="4" w:space="0" w:color="auto"/>
              <w:right w:val="single" w:sz="4" w:space="0" w:color="auto"/>
            </w:tcBorders>
            <w:noWrap/>
            <w:vAlign w:val="bottom"/>
            <w:hideMark/>
          </w:tcPr>
          <w:p w14:paraId="4EF56E81" w14:textId="77777777" w:rsidR="009350E8" w:rsidRDefault="009350E8">
            <w:pPr>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 xml:space="preserve">vozíky na zavazadla 8 ks </w:t>
            </w:r>
          </w:p>
        </w:tc>
        <w:tc>
          <w:tcPr>
            <w:tcW w:w="1812" w:type="dxa"/>
            <w:tcBorders>
              <w:top w:val="nil"/>
              <w:left w:val="nil"/>
              <w:bottom w:val="nil"/>
              <w:right w:val="single" w:sz="8" w:space="0" w:color="auto"/>
            </w:tcBorders>
            <w:noWrap/>
            <w:vAlign w:val="bottom"/>
            <w:hideMark/>
          </w:tcPr>
          <w:p w14:paraId="389D26CD" w14:textId="77777777" w:rsidR="009350E8" w:rsidRDefault="009350E8">
            <w:pPr>
              <w:jc w:val="right"/>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600 000,00</w:t>
            </w:r>
          </w:p>
        </w:tc>
      </w:tr>
      <w:tr w:rsidR="009350E8" w14:paraId="1C7E1FDB" w14:textId="77777777" w:rsidTr="00E972DF">
        <w:trPr>
          <w:trHeight w:val="315"/>
        </w:trPr>
        <w:tc>
          <w:tcPr>
            <w:tcW w:w="5848" w:type="dxa"/>
            <w:tcBorders>
              <w:top w:val="nil"/>
              <w:left w:val="single" w:sz="8" w:space="0" w:color="auto"/>
              <w:bottom w:val="single" w:sz="4" w:space="0" w:color="auto"/>
              <w:right w:val="single" w:sz="4" w:space="0" w:color="auto"/>
            </w:tcBorders>
            <w:noWrap/>
            <w:vAlign w:val="bottom"/>
            <w:hideMark/>
          </w:tcPr>
          <w:p w14:paraId="434ED724" w14:textId="77777777" w:rsidR="009350E8" w:rsidRDefault="009350E8">
            <w:pPr>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nástupní schody do letadla 2ks</w:t>
            </w:r>
          </w:p>
        </w:tc>
        <w:tc>
          <w:tcPr>
            <w:tcW w:w="1812" w:type="dxa"/>
            <w:tcBorders>
              <w:top w:val="single" w:sz="4" w:space="0" w:color="auto"/>
              <w:left w:val="nil"/>
              <w:bottom w:val="single" w:sz="4" w:space="0" w:color="auto"/>
              <w:right w:val="single" w:sz="8" w:space="0" w:color="auto"/>
            </w:tcBorders>
            <w:noWrap/>
            <w:vAlign w:val="bottom"/>
            <w:hideMark/>
          </w:tcPr>
          <w:p w14:paraId="42A058DE" w14:textId="77777777" w:rsidR="009350E8" w:rsidRDefault="009350E8">
            <w:pPr>
              <w:jc w:val="right"/>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2 400 000,00</w:t>
            </w:r>
          </w:p>
        </w:tc>
      </w:tr>
      <w:tr w:rsidR="009350E8" w14:paraId="677F7D63" w14:textId="77777777" w:rsidTr="00E972DF">
        <w:trPr>
          <w:trHeight w:val="315"/>
        </w:trPr>
        <w:tc>
          <w:tcPr>
            <w:tcW w:w="5848" w:type="dxa"/>
            <w:tcBorders>
              <w:top w:val="nil"/>
              <w:left w:val="single" w:sz="8" w:space="0" w:color="auto"/>
              <w:bottom w:val="single" w:sz="4" w:space="0" w:color="auto"/>
              <w:right w:val="single" w:sz="4" w:space="0" w:color="auto"/>
            </w:tcBorders>
            <w:noWrap/>
            <w:vAlign w:val="bottom"/>
            <w:hideMark/>
          </w:tcPr>
          <w:p w14:paraId="2D98DAEB" w14:textId="77777777" w:rsidR="009350E8" w:rsidRDefault="009350E8">
            <w:pPr>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nakládací pás zavazadel 2ks</w:t>
            </w:r>
          </w:p>
        </w:tc>
        <w:tc>
          <w:tcPr>
            <w:tcW w:w="1812" w:type="dxa"/>
            <w:tcBorders>
              <w:top w:val="nil"/>
              <w:left w:val="nil"/>
              <w:bottom w:val="single" w:sz="4" w:space="0" w:color="auto"/>
              <w:right w:val="single" w:sz="8" w:space="0" w:color="auto"/>
            </w:tcBorders>
            <w:noWrap/>
            <w:vAlign w:val="bottom"/>
            <w:hideMark/>
          </w:tcPr>
          <w:p w14:paraId="5C13325A" w14:textId="77777777" w:rsidR="009350E8" w:rsidRDefault="009350E8">
            <w:pPr>
              <w:jc w:val="right"/>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1 000 000,00</w:t>
            </w:r>
          </w:p>
        </w:tc>
      </w:tr>
      <w:tr w:rsidR="009350E8" w14:paraId="4A7B9DC2" w14:textId="77777777" w:rsidTr="00E972DF">
        <w:trPr>
          <w:trHeight w:val="315"/>
        </w:trPr>
        <w:tc>
          <w:tcPr>
            <w:tcW w:w="5848" w:type="dxa"/>
            <w:tcBorders>
              <w:top w:val="nil"/>
              <w:left w:val="single" w:sz="8" w:space="0" w:color="auto"/>
              <w:bottom w:val="single" w:sz="4" w:space="0" w:color="auto"/>
              <w:right w:val="single" w:sz="4" w:space="0" w:color="auto"/>
            </w:tcBorders>
            <w:noWrap/>
            <w:vAlign w:val="bottom"/>
            <w:hideMark/>
          </w:tcPr>
          <w:p w14:paraId="20FA1EE0" w14:textId="77777777" w:rsidR="009350E8" w:rsidRDefault="009350E8">
            <w:pPr>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2 přepážky Check-in</w:t>
            </w:r>
          </w:p>
        </w:tc>
        <w:tc>
          <w:tcPr>
            <w:tcW w:w="1812" w:type="dxa"/>
            <w:tcBorders>
              <w:top w:val="nil"/>
              <w:left w:val="nil"/>
              <w:bottom w:val="single" w:sz="4" w:space="0" w:color="auto"/>
              <w:right w:val="single" w:sz="8" w:space="0" w:color="auto"/>
            </w:tcBorders>
            <w:noWrap/>
            <w:vAlign w:val="bottom"/>
            <w:hideMark/>
          </w:tcPr>
          <w:p w14:paraId="367F3E09" w14:textId="77777777" w:rsidR="009350E8" w:rsidRDefault="009350E8">
            <w:pPr>
              <w:jc w:val="right"/>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500 000,00</w:t>
            </w:r>
          </w:p>
        </w:tc>
      </w:tr>
      <w:tr w:rsidR="009350E8" w14:paraId="217B5F24" w14:textId="77777777" w:rsidTr="00E972DF">
        <w:trPr>
          <w:trHeight w:val="315"/>
        </w:trPr>
        <w:tc>
          <w:tcPr>
            <w:tcW w:w="5848" w:type="dxa"/>
            <w:tcBorders>
              <w:top w:val="nil"/>
              <w:left w:val="single" w:sz="8" w:space="0" w:color="auto"/>
              <w:bottom w:val="nil"/>
              <w:right w:val="single" w:sz="4" w:space="0" w:color="auto"/>
            </w:tcBorders>
            <w:shd w:val="clear" w:color="auto" w:fill="92D050"/>
            <w:noWrap/>
            <w:vAlign w:val="bottom"/>
            <w:hideMark/>
          </w:tcPr>
          <w:p w14:paraId="0360080D" w14:textId="77777777" w:rsidR="009350E8" w:rsidRDefault="009350E8">
            <w:pPr>
              <w:rPr>
                <w:rFonts w:ascii="Tahoma" w:eastAsia="Times New Roman" w:hAnsi="Tahoma" w:cs="Tahoma"/>
                <w:color w:val="000000"/>
                <w:sz w:val="20"/>
                <w:szCs w:val="20"/>
                <w:lang w:eastAsia="cs-CZ"/>
              </w:rPr>
            </w:pPr>
            <w:r>
              <w:rPr>
                <w:rFonts w:ascii="Tahoma" w:eastAsia="Times New Roman" w:hAnsi="Tahoma" w:cs="Tahoma"/>
                <w:b/>
                <w:bCs/>
                <w:color w:val="000000"/>
                <w:sz w:val="20"/>
                <w:szCs w:val="20"/>
                <w:lang w:eastAsia="cs-CZ"/>
              </w:rPr>
              <w:t>celkem</w:t>
            </w:r>
          </w:p>
        </w:tc>
        <w:tc>
          <w:tcPr>
            <w:tcW w:w="1812" w:type="dxa"/>
            <w:tcBorders>
              <w:top w:val="nil"/>
              <w:left w:val="nil"/>
              <w:bottom w:val="nil"/>
              <w:right w:val="single" w:sz="8" w:space="0" w:color="auto"/>
            </w:tcBorders>
            <w:shd w:val="clear" w:color="auto" w:fill="92D050"/>
            <w:noWrap/>
            <w:vAlign w:val="bottom"/>
            <w:hideMark/>
          </w:tcPr>
          <w:p w14:paraId="162195C5" w14:textId="77777777" w:rsidR="009350E8" w:rsidRDefault="009350E8">
            <w:pPr>
              <w:jc w:val="right"/>
              <w:rPr>
                <w:rFonts w:ascii="Tahoma" w:eastAsia="Times New Roman" w:hAnsi="Tahoma" w:cs="Tahoma"/>
                <w:color w:val="000000"/>
                <w:sz w:val="20"/>
                <w:szCs w:val="20"/>
                <w:lang w:eastAsia="cs-CZ"/>
              </w:rPr>
            </w:pPr>
            <w:r>
              <w:rPr>
                <w:rFonts w:ascii="Tahoma" w:eastAsia="Times New Roman" w:hAnsi="Tahoma" w:cs="Tahoma"/>
                <w:b/>
                <w:bCs/>
                <w:color w:val="000000"/>
                <w:sz w:val="20"/>
                <w:szCs w:val="20"/>
                <w:lang w:eastAsia="cs-CZ"/>
              </w:rPr>
              <w:t>35 000 000,00</w:t>
            </w:r>
          </w:p>
        </w:tc>
      </w:tr>
      <w:tr w:rsidR="009350E8" w14:paraId="7744E39A" w14:textId="77777777" w:rsidTr="00E972DF">
        <w:trPr>
          <w:trHeight w:val="315"/>
        </w:trPr>
        <w:tc>
          <w:tcPr>
            <w:tcW w:w="5848" w:type="dxa"/>
            <w:tcBorders>
              <w:top w:val="nil"/>
              <w:left w:val="single" w:sz="8" w:space="0" w:color="auto"/>
              <w:bottom w:val="nil"/>
              <w:right w:val="single" w:sz="4" w:space="0" w:color="auto"/>
            </w:tcBorders>
            <w:shd w:val="clear" w:color="auto" w:fill="92D050"/>
            <w:noWrap/>
            <w:vAlign w:val="bottom"/>
          </w:tcPr>
          <w:p w14:paraId="14FDA0E0" w14:textId="77777777" w:rsidR="009350E8" w:rsidRDefault="009350E8">
            <w:pPr>
              <w:rPr>
                <w:rFonts w:ascii="Tahoma" w:eastAsia="Times New Roman" w:hAnsi="Tahoma" w:cs="Tahoma"/>
                <w:b/>
                <w:bCs/>
                <w:color w:val="000000"/>
                <w:sz w:val="20"/>
                <w:szCs w:val="20"/>
                <w:lang w:eastAsia="cs-CZ"/>
              </w:rPr>
            </w:pPr>
          </w:p>
        </w:tc>
        <w:tc>
          <w:tcPr>
            <w:tcW w:w="1812" w:type="dxa"/>
            <w:tcBorders>
              <w:top w:val="nil"/>
              <w:left w:val="nil"/>
              <w:bottom w:val="nil"/>
              <w:right w:val="single" w:sz="8" w:space="0" w:color="auto"/>
            </w:tcBorders>
            <w:shd w:val="clear" w:color="auto" w:fill="92D050"/>
            <w:noWrap/>
            <w:vAlign w:val="bottom"/>
          </w:tcPr>
          <w:p w14:paraId="61117F13" w14:textId="77777777" w:rsidR="009350E8" w:rsidRDefault="009350E8">
            <w:pPr>
              <w:jc w:val="right"/>
              <w:rPr>
                <w:rFonts w:ascii="Tahoma" w:eastAsia="Times New Roman" w:hAnsi="Tahoma" w:cs="Tahoma"/>
                <w:b/>
                <w:bCs/>
                <w:color w:val="000000"/>
                <w:sz w:val="20"/>
                <w:szCs w:val="20"/>
                <w:lang w:eastAsia="cs-CZ"/>
              </w:rPr>
            </w:pPr>
          </w:p>
        </w:tc>
      </w:tr>
    </w:tbl>
    <w:p w14:paraId="28DC73C6" w14:textId="77777777" w:rsidR="009350E8" w:rsidRDefault="009350E8" w:rsidP="00E972DF">
      <w:pPr>
        <w:pStyle w:val="KUJKnormal"/>
      </w:pPr>
    </w:p>
    <w:p w14:paraId="2C522AE7" w14:textId="77777777" w:rsidR="009350E8" w:rsidRDefault="009350E8" w:rsidP="00E972DF">
      <w:pPr>
        <w:jc w:val="both"/>
        <w:rPr>
          <w:rFonts w:ascii="Arial" w:hAnsi="Arial"/>
          <w:sz w:val="20"/>
          <w:szCs w:val="28"/>
        </w:rPr>
      </w:pPr>
      <w:r>
        <w:rPr>
          <w:rFonts w:ascii="Arial" w:hAnsi="Arial"/>
          <w:sz w:val="20"/>
          <w:szCs w:val="28"/>
        </w:rPr>
        <w:t>V souvislosti se zahájením zimního provozu v únoru 2024 bude zimní údržbu na Jihočeském letišti České Budějovice, a. s. zajišťována prostřednictvím Správy a údržby silnic Jihočeského kraje kompaktním vozidlem na zimní údržbu Schmidt.</w:t>
      </w:r>
    </w:p>
    <w:p w14:paraId="6744ADB1" w14:textId="77777777" w:rsidR="009350E8" w:rsidRDefault="009350E8" w:rsidP="00E972DF">
      <w:pPr>
        <w:pStyle w:val="KUJKnormal"/>
      </w:pPr>
    </w:p>
    <w:p w14:paraId="50C84DF8" w14:textId="77777777" w:rsidR="009350E8" w:rsidRDefault="009350E8" w:rsidP="00E972DF">
      <w:pPr>
        <w:pStyle w:val="KUJKnormal"/>
      </w:pPr>
      <w:r>
        <w:t xml:space="preserve">Pro úpravu závazkových vztahů souvisejících s poskytnutím těchto finančních prostředků je předložena k projednání </w:t>
      </w:r>
      <w:r w:rsidRPr="00E972DF">
        <w:t>zastupitelstvu J</w:t>
      </w:r>
      <w:r>
        <w:t xml:space="preserve">ihočeského kraje Smlouva o poskytnutí provozní a investiční dotace (příloha č. 2). Obsahově je smlouva zpracována obdobně jako smlouva uzavřená mezi Jihočeským krajem a akciovou společností na rok 2023. </w:t>
      </w:r>
    </w:p>
    <w:p w14:paraId="2F6407CC" w14:textId="77777777" w:rsidR="009350E8" w:rsidRDefault="009350E8" w:rsidP="00E972DF">
      <w:pPr>
        <w:pStyle w:val="KUJKnormal"/>
      </w:pPr>
    </w:p>
    <w:p w14:paraId="2B8BFBBF" w14:textId="77777777" w:rsidR="009350E8" w:rsidRDefault="009350E8" w:rsidP="00E972DF">
      <w:pPr>
        <w:pStyle w:val="KUJKnormal"/>
      </w:pPr>
      <w:r>
        <w:t xml:space="preserve">Náklady uvedené v jednotlivých nákladových položkách (v příloze č. 4 smlouvy) jsou předloženy ke schválení zastupitelstva Jihočeského kraje a budou považovány pro rok 2024 za předpokládané částky možných vyrovnávacích plateb poskytnutých Jihočeským krajem (kompenzační mechanismus). </w:t>
      </w:r>
      <w:r>
        <w:rPr>
          <w:rFonts w:ascii="Tahoma" w:hAnsi="Tahoma" w:cs="Tahoma"/>
          <w:szCs w:val="20"/>
        </w:rPr>
        <w:t xml:space="preserve">JČ kraj se zavazuje zasílat měsíční zálohu na provozní dotaci na účet Jihočeského letiště České Budějovice a. s. Jihočeské letiště se v této souvislosti zavazuje do 15. 10. 2024 vyhotovit a předložit JČ kraji analýzu své činnosti zaměřenou na plnění závazku veřejné služby za období leden – září roku 2024, ze které bude zřejmé, zda a v jaké výši je možné poslední zálohu změnit. </w:t>
      </w:r>
      <w:r>
        <w:t>Po ukončení účetního období bude následně provedena kontrola a hodnocení vyrovnávacích plateb a částky přesahující tyto náklady budou poskytovateli případně vráceny. Tento postup je využit jako zajištění opatření k zamezení, resp. vrácení nadměrné vyrovnávací platby.</w:t>
      </w:r>
    </w:p>
    <w:p w14:paraId="344591AC" w14:textId="77777777" w:rsidR="009350E8" w:rsidRDefault="009350E8" w:rsidP="00E972DF">
      <w:pPr>
        <w:pStyle w:val="KUJKnormal"/>
      </w:pPr>
    </w:p>
    <w:p w14:paraId="6BF251AB" w14:textId="77777777" w:rsidR="009350E8" w:rsidRDefault="009350E8" w:rsidP="00E972DF">
      <w:pPr>
        <w:pStyle w:val="KUJKnormal"/>
      </w:pPr>
      <w:r w:rsidRPr="000A0773">
        <w:t>Tento návrh byl projednán na jednání rady kraje dne 30. 11. 2023 a rada kraje doporučila zastupitelstvu kraje schválit usnesení v navrženém znění, a to usnesením č. 1355/2023/RK-80.</w:t>
      </w:r>
      <w:r>
        <w:t xml:space="preserve"> V usnesení se navrhuje zastupitelstvu kraje schválit poskytnutí provozní dotace ve výši 75 000 000,00 Kč, investiční dotace ve výši 35 000 000,00 Kč společnosti Jihočeské letiště České Budějovice a. s. pro rok 2024 na úhradu nákladů spojených se závazkem veřejné služby a veřejnoprávní smlouvu o poskytnutí provozní a investiční dotace se společností Jihočeské letiště České Budějovice a. s. </w:t>
      </w:r>
      <w:r w:rsidRPr="00E972DF">
        <w:t>Dále se v usnesení navrhuje uložit JUDr. Lukáši Glaserovi, řediteli krajského úřadu, předložit k podpisu hejtmanovi kraje Smlouvu o poskytnutí provozní a investiční dotace uvedenou v části I. usnesení.</w:t>
      </w:r>
    </w:p>
    <w:p w14:paraId="4A33F353" w14:textId="77777777" w:rsidR="009350E8" w:rsidRDefault="009350E8" w:rsidP="00E972DF">
      <w:pPr>
        <w:pStyle w:val="KUJKnormal"/>
      </w:pPr>
    </w:p>
    <w:p w14:paraId="460A87B3" w14:textId="77777777" w:rsidR="009350E8" w:rsidRDefault="009350E8" w:rsidP="00E972DF">
      <w:pPr>
        <w:pStyle w:val="KUJKnormal"/>
      </w:pPr>
      <w:r>
        <w:t>Finanční nároky a krytí:</w:t>
      </w:r>
    </w:p>
    <w:p w14:paraId="1D04C1FC" w14:textId="77777777" w:rsidR="009350E8" w:rsidRDefault="009350E8" w:rsidP="00E972DF">
      <w:pPr>
        <w:pStyle w:val="KUJKnormal"/>
      </w:pPr>
      <w:r>
        <w:t>Finanční prostředky určené společnosti Jihočeské letiště České Budějovice a. s.  jsou kryty rozpočtem Jihočeského kraje na rok 2022, ORJ 1056: na provoz (§ 2251, pol. 5213) ve výši 75 000 000,00 Kč, na investice (§ 2251, pol. 6313) ve výši 35 000 000,00 Kč.</w:t>
      </w:r>
    </w:p>
    <w:p w14:paraId="5A929FDC" w14:textId="77777777" w:rsidR="009350E8" w:rsidRDefault="009350E8" w:rsidP="00E972DF">
      <w:pPr>
        <w:pStyle w:val="KUJKnormal"/>
      </w:pPr>
    </w:p>
    <w:p w14:paraId="460BA76B" w14:textId="77777777" w:rsidR="009350E8" w:rsidRDefault="009350E8" w:rsidP="00E972DF">
      <w:pPr>
        <w:pStyle w:val="KUJKnormal"/>
      </w:pPr>
    </w:p>
    <w:p w14:paraId="48228E4F" w14:textId="77777777" w:rsidR="009350E8" w:rsidRDefault="009350E8" w:rsidP="00E972DF">
      <w:pPr>
        <w:pStyle w:val="KUJKnormal"/>
      </w:pPr>
      <w:r>
        <w:lastRenderedPageBreak/>
        <w:t>Vyjádření správce rozpočtu: Tomáš Budík - Ekonomický odbor (OEKO):  Souhlasím -  Souhlasím za předpokladu schválení Návrhu Rozpočtu JčK na rok 2024 s odpovídající alokací.</w:t>
      </w:r>
    </w:p>
    <w:p w14:paraId="70BA4FC0" w14:textId="77777777" w:rsidR="009350E8" w:rsidRDefault="009350E8" w:rsidP="00E972DF">
      <w:pPr>
        <w:pStyle w:val="KUJKnormal"/>
      </w:pPr>
    </w:p>
    <w:p w14:paraId="36927DE6" w14:textId="77777777" w:rsidR="009350E8" w:rsidRDefault="009350E8" w:rsidP="00E972DF">
      <w:pPr>
        <w:pStyle w:val="KUJKnormal"/>
      </w:pPr>
      <w:r>
        <w:t xml:space="preserve">Návrh projednán (stanoviska): Mgr. Markéta Procházková - Odbor právní a krajský živnostenský úřad (OPZU): Souhlasím - </w:t>
      </w:r>
    </w:p>
    <w:p w14:paraId="2CF4B1DA" w14:textId="77777777" w:rsidR="009350E8" w:rsidRDefault="009350E8" w:rsidP="00E972DF">
      <w:pPr>
        <w:pStyle w:val="KUJKnormal"/>
      </w:pPr>
    </w:p>
    <w:p w14:paraId="4257D51B" w14:textId="77777777" w:rsidR="009350E8" w:rsidRDefault="009350E8" w:rsidP="00E972DF">
      <w:pPr>
        <w:pStyle w:val="KUJKnormal"/>
      </w:pPr>
    </w:p>
    <w:p w14:paraId="3E974FA4" w14:textId="77777777" w:rsidR="009350E8" w:rsidRDefault="009350E8" w:rsidP="00E972DF">
      <w:pPr>
        <w:pStyle w:val="KUJKnormal"/>
      </w:pPr>
    </w:p>
    <w:p w14:paraId="4DD71075" w14:textId="77777777" w:rsidR="009350E8" w:rsidRDefault="009350E8" w:rsidP="00E972DF">
      <w:pPr>
        <w:pStyle w:val="KUJKtucny"/>
      </w:pPr>
      <w:r>
        <w:t>PŘÍLOHY:</w:t>
      </w:r>
    </w:p>
    <w:p w14:paraId="4E9F3617" w14:textId="77777777" w:rsidR="009350E8" w:rsidRDefault="009350E8" w:rsidP="00E972DF">
      <w:pPr>
        <w:pStyle w:val="KUJKcislovany"/>
        <w:numPr>
          <w:ilvl w:val="0"/>
          <w:numId w:val="12"/>
        </w:numPr>
        <w:tabs>
          <w:tab w:val="left" w:pos="708"/>
        </w:tabs>
        <w:ind w:left="284" w:hanging="284"/>
      </w:pPr>
      <w:r>
        <w:t>Žádost o poskytnutí provozní a investiční dotace na r. 2024</w:t>
      </w:r>
    </w:p>
    <w:p w14:paraId="4CEAE52D" w14:textId="77777777" w:rsidR="009350E8" w:rsidRDefault="009350E8" w:rsidP="00E972DF">
      <w:pPr>
        <w:pStyle w:val="KUJKcislovany"/>
        <w:numPr>
          <w:ilvl w:val="0"/>
          <w:numId w:val="12"/>
        </w:numPr>
        <w:tabs>
          <w:tab w:val="left" w:pos="708"/>
        </w:tabs>
        <w:ind w:left="284" w:hanging="284"/>
      </w:pPr>
      <w:r>
        <w:t xml:space="preserve">Smlouva </w:t>
      </w:r>
      <w:bookmarkStart w:id="3" w:name="_Hlk151366120"/>
      <w:r>
        <w:t xml:space="preserve">o poskytnutí provozní a investiční dotace na r. </w:t>
      </w:r>
      <w:bookmarkEnd w:id="3"/>
      <w:r>
        <w:t>2024</w:t>
      </w:r>
    </w:p>
    <w:p w14:paraId="6A66BA80" w14:textId="77777777" w:rsidR="009350E8" w:rsidRDefault="009350E8" w:rsidP="00E972DF">
      <w:pPr>
        <w:pStyle w:val="KUJKnormal"/>
      </w:pPr>
    </w:p>
    <w:p w14:paraId="020DA176" w14:textId="77777777" w:rsidR="009350E8" w:rsidRDefault="009350E8" w:rsidP="00E972DF">
      <w:pPr>
        <w:pStyle w:val="KUJKtucny"/>
      </w:pPr>
      <w:r>
        <w:t xml:space="preserve">Zodpovídá: </w:t>
      </w:r>
      <w:r>
        <w:rPr>
          <w:b w:val="0"/>
          <w:bCs/>
        </w:rPr>
        <w:t>vedoucí ODSH</w:t>
      </w:r>
      <w:r>
        <w:t xml:space="preserve"> - </w:t>
      </w:r>
      <w:r>
        <w:rPr>
          <w:b w:val="0"/>
          <w:bCs/>
        </w:rPr>
        <w:t>JUDr. Andrea Tetourová</w:t>
      </w:r>
    </w:p>
    <w:p w14:paraId="5FF7E0FD" w14:textId="77777777" w:rsidR="009350E8" w:rsidRDefault="009350E8" w:rsidP="00E972DF">
      <w:pPr>
        <w:pStyle w:val="KUJKnormal"/>
      </w:pPr>
    </w:p>
    <w:p w14:paraId="437F41CC" w14:textId="77777777" w:rsidR="009350E8" w:rsidRDefault="009350E8" w:rsidP="00E972DF">
      <w:pPr>
        <w:pStyle w:val="KUJKnormal"/>
      </w:pPr>
      <w:r>
        <w:t>Termín kontroly: 31. 12. 2023</w:t>
      </w:r>
    </w:p>
    <w:p w14:paraId="040C1192" w14:textId="77777777" w:rsidR="009350E8" w:rsidRDefault="009350E8" w:rsidP="00E972DF">
      <w:pPr>
        <w:pStyle w:val="KUJKnormal"/>
      </w:pPr>
      <w:r>
        <w:t>Termín splnění: 31. 12. 2023</w:t>
      </w:r>
    </w:p>
    <w:p w14:paraId="5E0AB513" w14:textId="77777777" w:rsidR="009350E8" w:rsidRDefault="009350E8" w:rsidP="00E972DF">
      <w:pPr>
        <w:pStyle w:val="KUJKnormal"/>
      </w:pPr>
    </w:p>
    <w:p w14:paraId="5BD18C17" w14:textId="77777777" w:rsidR="009350E8" w:rsidRPr="009B7B0B" w:rsidRDefault="009350E8" w:rsidP="0083789C">
      <w:pPr>
        <w:pStyle w:val="KUJKmezeraDZ"/>
      </w:pPr>
    </w:p>
    <w:p w14:paraId="10F847AB" w14:textId="77777777" w:rsidR="009350E8" w:rsidRDefault="009350E8" w:rsidP="0043512A">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8C887" w14:textId="77777777" w:rsidR="009350E8" w:rsidRDefault="009350E8" w:rsidP="009350E8">
    <w:r>
      <w:rPr>
        <w:noProof/>
      </w:rPr>
      <w:pict w14:anchorId="20811BB0">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511520D8" w14:textId="77777777" w:rsidR="009350E8" w:rsidRPr="005F485E" w:rsidRDefault="009350E8" w:rsidP="009350E8">
                <w:pPr>
                  <w:spacing w:after="60"/>
                  <w:rPr>
                    <w:rFonts w:ascii="Arial" w:hAnsi="Arial" w:cs="Arial"/>
                    <w:b/>
                    <w:sz w:val="22"/>
                  </w:rPr>
                </w:pPr>
                <w:r w:rsidRPr="005F485E">
                  <w:rPr>
                    <w:rFonts w:ascii="Arial" w:hAnsi="Arial" w:cs="Arial"/>
                    <w:b/>
                    <w:sz w:val="22"/>
                  </w:rPr>
                  <w:t>ZASTUPITELSTVO JIHOČESKÉHO KRAJE</w:t>
                </w:r>
              </w:p>
              <w:p w14:paraId="3299D683" w14:textId="77777777" w:rsidR="009350E8" w:rsidRPr="005F485E" w:rsidRDefault="009350E8" w:rsidP="009350E8">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140FF3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3221A847" w14:textId="77777777" w:rsidR="009350E8" w:rsidRDefault="009350E8" w:rsidP="009350E8">
    <w:r>
      <w:pict w14:anchorId="4305D04E">
        <v:rect id="_x0000_i1026" style="width:481.9pt;height:2pt" o:hralign="center" o:hrstd="t" o:hrnoshade="t" o:hr="t" fillcolor="black" stroked="f"/>
      </w:pict>
    </w:r>
  </w:p>
  <w:p w14:paraId="39B0500A" w14:textId="77777777" w:rsidR="009350E8" w:rsidRPr="009350E8" w:rsidRDefault="009350E8" w:rsidP="009350E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D98733F"/>
    <w:multiLevelType w:val="hybridMultilevel"/>
    <w:tmpl w:val="01FC6F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95189755">
    <w:abstractNumId w:val="1"/>
  </w:num>
  <w:num w:numId="2" w16cid:durableId="1352754665">
    <w:abstractNumId w:val="2"/>
  </w:num>
  <w:num w:numId="3" w16cid:durableId="2038700470">
    <w:abstractNumId w:val="9"/>
  </w:num>
  <w:num w:numId="4" w16cid:durableId="712315142">
    <w:abstractNumId w:val="7"/>
  </w:num>
  <w:num w:numId="5" w16cid:durableId="1523742360">
    <w:abstractNumId w:val="0"/>
  </w:num>
  <w:num w:numId="6" w16cid:durableId="1869022089">
    <w:abstractNumId w:val="3"/>
  </w:num>
  <w:num w:numId="7" w16cid:durableId="1005593035">
    <w:abstractNumId w:val="6"/>
  </w:num>
  <w:num w:numId="8" w16cid:durableId="552933970">
    <w:abstractNumId w:val="4"/>
  </w:num>
  <w:num w:numId="9" w16cid:durableId="2045708176">
    <w:abstractNumId w:val="5"/>
  </w:num>
  <w:num w:numId="10" w16cid:durableId="1784373696">
    <w:abstractNumId w:val="8"/>
  </w:num>
  <w:num w:numId="11" w16cid:durableId="2084524126">
    <w:abstractNumId w:val="10"/>
  </w:num>
  <w:num w:numId="12" w16cid:durableId="2746038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0E8"/>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E5701"/>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C5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933</Words>
  <Characters>5509</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2024-06-27T10:48:00Z</dcterms:created>
  <dcterms:modified xsi:type="dcterms:W3CDTF">2024-06-27T10:48:00Z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6344775</vt:i4>
  </property>
  <property fmtid="{D5CDD505-2E9C-101B-9397-08002B2CF9AE}" pid="4" name="ID_Navrh">
    <vt:i4>6444230</vt:i4>
  </property>
  <property fmtid="{D5CDD505-2E9C-101B-9397-08002B2CF9AE}" pid="5" name="UlozitJako">
    <vt:lpwstr>C:\Users\mrazkova\AppData\Local\Temp\iU22599428\Zastupitelstvo\2023-12-14\Navrhy\455-ZK-23.</vt:lpwstr>
  </property>
  <property fmtid="{D5CDD505-2E9C-101B-9397-08002B2CF9AE}" pid="6" name="Zpracovat">
    <vt:bool>false</vt:bool>
  </property>
</Properties>
</file>