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F7B36" w14:paraId="06B11AC9" w14:textId="77777777" w:rsidTr="00A83804">
        <w:trPr>
          <w:trHeight w:hRule="exact" w:val="397"/>
        </w:trPr>
        <w:tc>
          <w:tcPr>
            <w:tcW w:w="2376" w:type="dxa"/>
            <w:hideMark/>
          </w:tcPr>
          <w:p w14:paraId="1B2F205B" w14:textId="77777777" w:rsidR="003F7B36" w:rsidRDefault="003F7B3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F8FBF7" w14:textId="77777777" w:rsidR="003F7B36" w:rsidRDefault="003F7B36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5FE71E10" w14:textId="77777777" w:rsidR="003F7B36" w:rsidRDefault="003F7B3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07940A0" w14:textId="77777777" w:rsidR="003F7B36" w:rsidRDefault="003F7B36" w:rsidP="00970720">
            <w:pPr>
              <w:pStyle w:val="KUJKnormal"/>
            </w:pPr>
          </w:p>
        </w:tc>
      </w:tr>
      <w:tr w:rsidR="003F7B36" w14:paraId="03F119E1" w14:textId="77777777" w:rsidTr="00A83804">
        <w:trPr>
          <w:cantSplit/>
          <w:trHeight w:hRule="exact" w:val="397"/>
        </w:trPr>
        <w:tc>
          <w:tcPr>
            <w:tcW w:w="2376" w:type="dxa"/>
            <w:hideMark/>
          </w:tcPr>
          <w:p w14:paraId="535D50A2" w14:textId="77777777" w:rsidR="003F7B36" w:rsidRDefault="003F7B3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EB38DC" w14:textId="77777777" w:rsidR="003F7B36" w:rsidRDefault="003F7B36" w:rsidP="00970720">
            <w:pPr>
              <w:pStyle w:val="KUJKnormal"/>
            </w:pPr>
            <w:r>
              <w:t>408/ZK/23</w:t>
            </w:r>
          </w:p>
        </w:tc>
      </w:tr>
      <w:tr w:rsidR="003F7B36" w14:paraId="0F256A5F" w14:textId="77777777" w:rsidTr="00A83804">
        <w:trPr>
          <w:trHeight w:val="397"/>
        </w:trPr>
        <w:tc>
          <w:tcPr>
            <w:tcW w:w="2376" w:type="dxa"/>
          </w:tcPr>
          <w:p w14:paraId="537A8AEE" w14:textId="77777777" w:rsidR="003F7B36" w:rsidRDefault="003F7B36" w:rsidP="00970720"/>
          <w:p w14:paraId="1F309D29" w14:textId="77777777" w:rsidR="003F7B36" w:rsidRDefault="003F7B3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709F96D" w14:textId="77777777" w:rsidR="003F7B36" w:rsidRDefault="003F7B36" w:rsidP="00970720"/>
          <w:p w14:paraId="44B281AC" w14:textId="77777777" w:rsidR="003F7B36" w:rsidRDefault="003F7B3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dopravce k uzavření smlouvy o veřejných službách v přepravě cestujících na železnici přímým zadáním - uzavření smlouvy s dopravcem České dráhy, a.s. v provozním souboru Elektrická trakce</w:t>
            </w:r>
          </w:p>
        </w:tc>
      </w:tr>
    </w:tbl>
    <w:p w14:paraId="296E6B8C" w14:textId="77777777" w:rsidR="003F7B36" w:rsidRDefault="003F7B36" w:rsidP="00A83804">
      <w:pPr>
        <w:pStyle w:val="KUJKnormal"/>
        <w:rPr>
          <w:b/>
          <w:bCs/>
        </w:rPr>
      </w:pPr>
      <w:r>
        <w:rPr>
          <w:b/>
          <w:bCs/>
        </w:rPr>
        <w:pict w14:anchorId="33A6A5B0">
          <v:rect id="_x0000_i1029" style="width:453.6pt;height:1.5pt" o:hralign="center" o:hrstd="t" o:hrnoshade="t" o:hr="t" fillcolor="black" stroked="f"/>
        </w:pict>
      </w:r>
    </w:p>
    <w:p w14:paraId="0C2093B5" w14:textId="77777777" w:rsidR="003F7B36" w:rsidRDefault="003F7B36" w:rsidP="00A83804">
      <w:pPr>
        <w:pStyle w:val="KUJKnormal"/>
      </w:pPr>
    </w:p>
    <w:p w14:paraId="58CF42EC" w14:textId="77777777" w:rsidR="003F7B36" w:rsidRDefault="003F7B36" w:rsidP="00A8380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F7B36" w14:paraId="6FB22CAB" w14:textId="77777777" w:rsidTr="002559B8">
        <w:trPr>
          <w:trHeight w:val="397"/>
        </w:trPr>
        <w:tc>
          <w:tcPr>
            <w:tcW w:w="2350" w:type="dxa"/>
            <w:hideMark/>
          </w:tcPr>
          <w:p w14:paraId="22472C1B" w14:textId="77777777" w:rsidR="003F7B36" w:rsidRDefault="003F7B3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F73CF84" w14:textId="77777777" w:rsidR="003F7B36" w:rsidRDefault="003F7B36" w:rsidP="002559B8">
            <w:pPr>
              <w:pStyle w:val="KUJKnormal"/>
            </w:pPr>
            <w:r>
              <w:t>Mgr. Bc. Antonín Krák</w:t>
            </w:r>
          </w:p>
          <w:p w14:paraId="38ECCE46" w14:textId="77777777" w:rsidR="003F7B36" w:rsidRDefault="003F7B36" w:rsidP="002559B8"/>
        </w:tc>
      </w:tr>
      <w:tr w:rsidR="003F7B36" w14:paraId="6BA81FDB" w14:textId="77777777" w:rsidTr="002559B8">
        <w:trPr>
          <w:trHeight w:val="397"/>
        </w:trPr>
        <w:tc>
          <w:tcPr>
            <w:tcW w:w="2350" w:type="dxa"/>
          </w:tcPr>
          <w:p w14:paraId="216882C6" w14:textId="77777777" w:rsidR="003F7B36" w:rsidRDefault="003F7B36" w:rsidP="002559B8">
            <w:pPr>
              <w:pStyle w:val="KUJKtucny"/>
            </w:pPr>
            <w:r>
              <w:t>Zpracoval:</w:t>
            </w:r>
          </w:p>
          <w:p w14:paraId="416DBA13" w14:textId="77777777" w:rsidR="003F7B36" w:rsidRDefault="003F7B36" w:rsidP="002559B8"/>
        </w:tc>
        <w:tc>
          <w:tcPr>
            <w:tcW w:w="6862" w:type="dxa"/>
            <w:hideMark/>
          </w:tcPr>
          <w:p w14:paraId="29884412" w14:textId="77777777" w:rsidR="003F7B36" w:rsidRDefault="003F7B36" w:rsidP="002559B8">
            <w:pPr>
              <w:pStyle w:val="KUJKnormal"/>
            </w:pPr>
            <w:r>
              <w:t>ODSH</w:t>
            </w:r>
          </w:p>
        </w:tc>
      </w:tr>
      <w:tr w:rsidR="003F7B36" w14:paraId="4E8AC6BF" w14:textId="77777777" w:rsidTr="002559B8">
        <w:trPr>
          <w:trHeight w:val="397"/>
        </w:trPr>
        <w:tc>
          <w:tcPr>
            <w:tcW w:w="2350" w:type="dxa"/>
          </w:tcPr>
          <w:p w14:paraId="2BDB130A" w14:textId="77777777" w:rsidR="003F7B36" w:rsidRPr="009715F9" w:rsidRDefault="003F7B3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E76317D" w14:textId="77777777" w:rsidR="003F7B36" w:rsidRDefault="003F7B36" w:rsidP="002559B8"/>
        </w:tc>
        <w:tc>
          <w:tcPr>
            <w:tcW w:w="6862" w:type="dxa"/>
            <w:hideMark/>
          </w:tcPr>
          <w:p w14:paraId="67554D7E" w14:textId="77777777" w:rsidR="003F7B36" w:rsidRDefault="003F7B36" w:rsidP="002559B8">
            <w:pPr>
              <w:pStyle w:val="KUJKnormal"/>
            </w:pPr>
            <w:r>
              <w:t>JUDr. Andrea Tetourová</w:t>
            </w:r>
          </w:p>
        </w:tc>
      </w:tr>
    </w:tbl>
    <w:p w14:paraId="3CF75D69" w14:textId="77777777" w:rsidR="003F7B36" w:rsidRDefault="003F7B36" w:rsidP="00A83804">
      <w:pPr>
        <w:pStyle w:val="KUJKnormal"/>
      </w:pPr>
    </w:p>
    <w:p w14:paraId="78C75EAE" w14:textId="77777777" w:rsidR="003F7B36" w:rsidRPr="0052161F" w:rsidRDefault="003F7B36" w:rsidP="00A83804">
      <w:pPr>
        <w:pStyle w:val="KUJKtucny"/>
      </w:pPr>
      <w:r w:rsidRPr="0052161F">
        <w:t>NÁVRH USNESENÍ</w:t>
      </w:r>
    </w:p>
    <w:p w14:paraId="13883BBD" w14:textId="77777777" w:rsidR="003F7B36" w:rsidRDefault="003F7B36" w:rsidP="00A8380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C688551" w14:textId="77777777" w:rsidR="003F7B36" w:rsidRPr="00841DFC" w:rsidRDefault="003F7B36" w:rsidP="00A83804">
      <w:pPr>
        <w:pStyle w:val="KUJKPolozka"/>
      </w:pPr>
      <w:r w:rsidRPr="00841DFC">
        <w:t>Zastupitelstvo Jihočeského kraje</w:t>
      </w:r>
    </w:p>
    <w:p w14:paraId="00CF7575" w14:textId="77777777" w:rsidR="003F7B36" w:rsidRPr="00E10FE7" w:rsidRDefault="003F7B36" w:rsidP="00FE30DB">
      <w:pPr>
        <w:pStyle w:val="KUJKdoplnek2"/>
      </w:pPr>
      <w:r w:rsidRPr="00AF7BAE">
        <w:t>schvaluje</w:t>
      </w:r>
    </w:p>
    <w:p w14:paraId="31D9B4E3" w14:textId="77777777" w:rsidR="003F7B36" w:rsidRPr="0089293A" w:rsidRDefault="003F7B36" w:rsidP="00FE30DB">
      <w:pPr>
        <w:pStyle w:val="KUJKPolozka"/>
        <w:rPr>
          <w:b w:val="0"/>
          <w:bCs/>
          <w:lang w:eastAsia="cs-CZ"/>
        </w:rPr>
      </w:pPr>
      <w:r w:rsidRPr="0089293A">
        <w:rPr>
          <w:b w:val="0"/>
          <w:bCs/>
          <w:lang w:eastAsia="cs-CZ"/>
        </w:rPr>
        <w:t xml:space="preserve">Smlouvu o veřejných službách v přepravě cestujících veřejnou drážní osobní dopravou k zajištění dopravní obslužnosti vlaky regionální dopravy v rámci elektrické trakce s dopravcem České dráhy, a.s., IČO 70994226, uvedenou v příloze č. 1 návrhu č. </w:t>
      </w:r>
      <w:r>
        <w:rPr>
          <w:b w:val="0"/>
          <w:bCs/>
          <w:lang w:eastAsia="cs-CZ"/>
        </w:rPr>
        <w:t>408</w:t>
      </w:r>
      <w:r w:rsidRPr="0089293A">
        <w:rPr>
          <w:b w:val="0"/>
          <w:bCs/>
          <w:lang w:eastAsia="cs-CZ"/>
        </w:rPr>
        <w:t>/</w:t>
      </w:r>
      <w:r>
        <w:rPr>
          <w:b w:val="0"/>
          <w:bCs/>
          <w:lang w:eastAsia="cs-CZ"/>
        </w:rPr>
        <w:t>Z</w:t>
      </w:r>
      <w:r w:rsidRPr="0089293A">
        <w:rPr>
          <w:b w:val="0"/>
          <w:bCs/>
          <w:lang w:eastAsia="cs-CZ"/>
        </w:rPr>
        <w:t>K/23;</w:t>
      </w:r>
    </w:p>
    <w:p w14:paraId="07FD48D4" w14:textId="77777777" w:rsidR="003F7B36" w:rsidRDefault="003F7B36" w:rsidP="00FE30DB">
      <w:pPr>
        <w:pStyle w:val="KUJKdoplnek2"/>
        <w:numPr>
          <w:ilvl w:val="1"/>
          <w:numId w:val="11"/>
        </w:numPr>
      </w:pPr>
      <w:r w:rsidRPr="0021676C">
        <w:t>ukládá</w:t>
      </w:r>
    </w:p>
    <w:p w14:paraId="1ADF9C43" w14:textId="77777777" w:rsidR="003F7B36" w:rsidRPr="00764941" w:rsidRDefault="003F7B36" w:rsidP="00FE30DB">
      <w:pPr>
        <w:pStyle w:val="KUJKPolozka"/>
        <w:numPr>
          <w:ilvl w:val="0"/>
          <w:numId w:val="11"/>
        </w:numPr>
        <w:rPr>
          <w:b w:val="0"/>
          <w:bCs/>
          <w:lang w:eastAsia="cs-CZ"/>
        </w:rPr>
      </w:pPr>
      <w:r w:rsidRPr="00764941">
        <w:rPr>
          <w:b w:val="0"/>
          <w:bCs/>
          <w:lang w:eastAsia="cs-CZ"/>
        </w:rPr>
        <w:t xml:space="preserve">JUDr. Lukáši Glaserovi, řediteli krajského úřadu, předložit k podpisu hejtmanovi kraje </w:t>
      </w:r>
      <w:r w:rsidRPr="0089293A">
        <w:rPr>
          <w:b w:val="0"/>
          <w:bCs/>
          <w:lang w:eastAsia="cs-CZ"/>
        </w:rPr>
        <w:t>Smlouvu o veřejných službách v přepravě cestujících veřejnou drážní osobní dopravou k zajištění dopravní obslužnosti vlaky regionální dopravy v rámci elektrické trakce</w:t>
      </w:r>
      <w:r w:rsidRPr="00764941">
        <w:rPr>
          <w:b w:val="0"/>
          <w:bCs/>
          <w:lang w:eastAsia="cs-CZ"/>
        </w:rPr>
        <w:t xml:space="preserve"> podle části I. usnesení.</w:t>
      </w:r>
    </w:p>
    <w:p w14:paraId="0F7A6AC1" w14:textId="77777777" w:rsidR="003F7B36" w:rsidRPr="00764941" w:rsidRDefault="003F7B36" w:rsidP="00FE30DB">
      <w:pPr>
        <w:pStyle w:val="KUJKPolozka"/>
        <w:numPr>
          <w:ilvl w:val="0"/>
          <w:numId w:val="11"/>
        </w:numPr>
        <w:rPr>
          <w:b w:val="0"/>
          <w:bCs/>
          <w:szCs w:val="20"/>
        </w:rPr>
      </w:pPr>
      <w:r w:rsidRPr="00764941">
        <w:rPr>
          <w:b w:val="0"/>
          <w:bCs/>
          <w:szCs w:val="20"/>
        </w:rPr>
        <w:t xml:space="preserve">T: </w:t>
      </w:r>
      <w:r>
        <w:rPr>
          <w:b w:val="0"/>
          <w:bCs/>
          <w:szCs w:val="20"/>
        </w:rPr>
        <w:t>30. 11</w:t>
      </w:r>
      <w:r w:rsidRPr="00764941">
        <w:rPr>
          <w:b w:val="0"/>
          <w:bCs/>
          <w:szCs w:val="20"/>
        </w:rPr>
        <w:t>. 2023</w:t>
      </w:r>
    </w:p>
    <w:p w14:paraId="665E36FB" w14:textId="77777777" w:rsidR="003F7B36" w:rsidRDefault="003F7B36" w:rsidP="00A83804">
      <w:pPr>
        <w:pStyle w:val="KUJKnormal"/>
      </w:pPr>
    </w:p>
    <w:p w14:paraId="47701A9B" w14:textId="77777777" w:rsidR="003F7B36" w:rsidRDefault="003F7B36" w:rsidP="00AA6690">
      <w:pPr>
        <w:pStyle w:val="KUJKmezeraDZ"/>
      </w:pPr>
      <w:bookmarkStart w:id="1" w:name="US_DuvodZprava"/>
      <w:bookmarkEnd w:id="1"/>
    </w:p>
    <w:p w14:paraId="32B97F2E" w14:textId="77777777" w:rsidR="003F7B36" w:rsidRDefault="003F7B36" w:rsidP="00AA6690">
      <w:pPr>
        <w:pStyle w:val="KUJKnadpisDZ"/>
      </w:pPr>
      <w:r>
        <w:t>DŮVODOVÁ ZPRÁVA</w:t>
      </w:r>
    </w:p>
    <w:p w14:paraId="1150DD82" w14:textId="77777777" w:rsidR="003F7B36" w:rsidRPr="009B7B0B" w:rsidRDefault="003F7B36" w:rsidP="00AA6690">
      <w:pPr>
        <w:pStyle w:val="KUJKmezeraDZ"/>
      </w:pPr>
    </w:p>
    <w:p w14:paraId="664E76E0" w14:textId="77777777" w:rsidR="003F7B36" w:rsidRDefault="003F7B36" w:rsidP="009460FA">
      <w:pPr>
        <w:pStyle w:val="KUJKnormal"/>
      </w:pPr>
      <w:bookmarkStart w:id="2" w:name="_Hlk147756432"/>
      <w:r>
        <w:rPr>
          <w:rFonts w:cs="Arial"/>
          <w:szCs w:val="20"/>
        </w:rPr>
        <w:t xml:space="preserve">Tento návrh byl zpracován společností JIKORD s.r.o. a je předkládán prostřednictvím ODSH </w:t>
      </w:r>
      <w:r>
        <w:t xml:space="preserve">k projednání zastupitelstvu kraje.  </w:t>
      </w:r>
    </w:p>
    <w:p w14:paraId="6B33677C" w14:textId="77777777" w:rsidR="003F7B36" w:rsidRDefault="003F7B36" w:rsidP="009460FA">
      <w:pPr>
        <w:pStyle w:val="KUJKnormal"/>
      </w:pPr>
      <w:r>
        <w:rPr>
          <w:rFonts w:cs="Arial"/>
          <w:szCs w:val="20"/>
        </w:rPr>
        <w:t> </w:t>
      </w:r>
    </w:p>
    <w:bookmarkEnd w:id="2"/>
    <w:p w14:paraId="2E15E068" w14:textId="77777777" w:rsidR="003F7B36" w:rsidRDefault="003F7B36" w:rsidP="009460FA">
      <w:pPr>
        <w:pStyle w:val="KUJKnormal"/>
      </w:pPr>
      <w:r>
        <w:t xml:space="preserve">Zastupitelstvo kraje schválilo usnesením č. 239/2019/ZK-22 </w:t>
      </w:r>
      <w:r>
        <w:rPr>
          <w:rFonts w:cs="Arial"/>
          <w:szCs w:val="20"/>
        </w:rPr>
        <w:t xml:space="preserve">ze dne 27. 6. 2019 </w:t>
      </w:r>
      <w:r>
        <w:t xml:space="preserve">Smlouvu o veřejných službách v přepravě cestujících veřejnou drážní osobní dopravou k zajištění dopravní obslužnosti vlaky regionální dopravy v rámci elektrické trakce s dopravcem České dráhy, a.s., IČO 70994226, na dobu 10 let od období platnosti jízdního řádu 2019/2020. </w:t>
      </w:r>
    </w:p>
    <w:p w14:paraId="184EC00A" w14:textId="77777777" w:rsidR="003F7B36" w:rsidRDefault="003F7B36" w:rsidP="009460FA">
      <w:pPr>
        <w:pStyle w:val="KUJKnormal"/>
      </w:pPr>
    </w:p>
    <w:p w14:paraId="2029F356" w14:textId="77777777" w:rsidR="003F7B36" w:rsidRDefault="003F7B36" w:rsidP="009460FA">
      <w:pPr>
        <w:pStyle w:val="KUJKnormal"/>
      </w:pPr>
      <w:r>
        <w:t>V této smlouvě byla obsažena modernizace vozového parku formou nákupu 10 zcela nových elektrických jednotek pro elektrifikované tratě v Jihočeském kraji s výjimkou oběhově provázaných tratí č. 195 Rybník – Lipno nad Vltavou a trati č. 196 České Budějovice – Horní Dvořiště z důvodů nejasností ohledně možnosti provozu těchto nových elektrických jednotek. V letech 2020 až 2022 probíhala příprava a samotné testovací jízdy (zkušební provoz) jednotek typu RegioPanter na trati č. 195, který potvrdil možnost bezproblémového technického provozu jednotek RegioPanter i na této trati.</w:t>
      </w:r>
    </w:p>
    <w:p w14:paraId="0468EA76" w14:textId="77777777" w:rsidR="003F7B36" w:rsidRDefault="003F7B36" w:rsidP="009460FA">
      <w:pPr>
        <w:pStyle w:val="KUJKnormal"/>
      </w:pPr>
    </w:p>
    <w:p w14:paraId="47F75788" w14:textId="77777777" w:rsidR="003F7B36" w:rsidRDefault="003F7B36" w:rsidP="009460FA">
      <w:pPr>
        <w:pStyle w:val="KUJKnormal"/>
      </w:pPr>
      <w:r>
        <w:t>Zároveň na oběhově provázané trati č. 196 České Budějovice – Summerau nastane v průběhu platnosti stávající smlouvy (předpoklad dle Správy železnic, s.o. od roku 2026) povinnost provozovat vlaky vybavené evropským vlakovým zabezpečovačem (ETCS). Současně provozované soupravy tímto systémem vybaveny nejsou a musely by se dovybavit, což by znamenalo pro splnění povinnosti investice v řádu desítek mil. Kč.</w:t>
      </w:r>
    </w:p>
    <w:p w14:paraId="76E5CBC1" w14:textId="77777777" w:rsidR="003F7B36" w:rsidRDefault="003F7B36" w:rsidP="009460FA">
      <w:pPr>
        <w:pStyle w:val="KUJKnormal"/>
      </w:pPr>
    </w:p>
    <w:p w14:paraId="68C692A9" w14:textId="77777777" w:rsidR="003F7B36" w:rsidRDefault="003F7B36" w:rsidP="009460FA">
      <w:pPr>
        <w:pStyle w:val="KUJKnormal"/>
      </w:pPr>
      <w:r>
        <w:t xml:space="preserve">Na základě výše uvedených skutečností byla připravena ze strany dopravce České dráhy, a. s. nabídka na nákup dalších 5 elektrických jednotek typu RegioPanter, které by nahradily současně nasazované starší soupravy v rámci provozního souboru Elektrická trakce na tratích č. 195 a č. 196. O nabídce bylo průběžně jednáno, došlo k představení finančního modelu a provozního konceptu. Finanční modely byly představeny dva, a to na 6 let po dobu trvání současné smlouvy a druhý finanční model na dobu 10 let, který by spočíval ve vypovězení současné smlouvy a uzavření nové smlouvy na desetileté období od platnosti JŘ 2023/2024. Provozní model je pro oba finanční modely shodný. Jako nejvýhodnější se jevil finanční model s dobou trvání 10 let (na období 10 po sobě jdoucích období jízdního řádu), tj. ve variantě nové smlouvy. </w:t>
      </w:r>
    </w:p>
    <w:p w14:paraId="24F55ECC" w14:textId="77777777" w:rsidR="003F7B36" w:rsidRDefault="003F7B36" w:rsidP="009460FA">
      <w:pPr>
        <w:pStyle w:val="KUJKnormal"/>
      </w:pPr>
    </w:p>
    <w:p w14:paraId="7442862F" w14:textId="77777777" w:rsidR="003F7B36" w:rsidRDefault="003F7B36" w:rsidP="009460FA">
      <w:pPr>
        <w:pStyle w:val="KUJKnormal"/>
      </w:pPr>
      <w:r>
        <w:t xml:space="preserve">Z tohoto důvodu bylo usnesením Zastupitelstva Jihočeského kraje č. 326/2022/ZK-21 ze dne 13. 10. 2022 schváleno nové předběžné oznámení na možnost uzavření nové desetileté smlouvy (prenotifikace) ve Věstníku EU(TED), prenotifikace byla dne 2. 11. 2022 zveřejněna. </w:t>
      </w:r>
    </w:p>
    <w:p w14:paraId="37229D41" w14:textId="77777777" w:rsidR="003F7B36" w:rsidRDefault="003F7B36" w:rsidP="009460FA">
      <w:pPr>
        <w:pStyle w:val="KUJKnormal"/>
      </w:pPr>
    </w:p>
    <w:p w14:paraId="45F79AE8" w14:textId="77777777" w:rsidR="003F7B36" w:rsidRDefault="003F7B36" w:rsidP="009460FA">
      <w:pPr>
        <w:pStyle w:val="KUJKnormal"/>
      </w:pPr>
      <w:r>
        <w:t>Nové jednotky umožní přímé vedení vlaků v úseku Jindřichův Hradec/Tábor - České Budějovice – Lipno nad Vltavou, čímž dojde ke zvýšení komfortu cestujících, rychlosti, a především požadované bezpečnosti, kdy jednotky budou vybaveny z výroby zabezpečovacím systémem ETCS, které by bylo jinak nutné dodat do stávajících starších vozidel. Nové jednotky rovněž přinesou finanční úsporu zejména v úspoře elektrické energie, nákladů na opravy a údržbu, avšak vyšší finanční náklady související s výší odpisů z pořizovací ceny a i podílu na vybudování nové moderní opravárenské haly. Finanční výhodou nově pořízeních jednotek RegioPanter je to, že tyto jednotky jsou součástí opce původní dodávky již pořízených vozidel včetně jejich původní ceny v cenové hladině roku pořízení již nasazených jednotek. Pokud by byla cena v hladině současného roku, znamenalo by to nejen vyšší pořizovací náklady na vozidla, ale i související vyšší hladinu odpisů, což by znamenalo požadavek na vyšší kompenzaci.</w:t>
      </w:r>
    </w:p>
    <w:p w14:paraId="46FE9D62" w14:textId="77777777" w:rsidR="003F7B36" w:rsidRDefault="003F7B36" w:rsidP="009460FA">
      <w:pPr>
        <w:pStyle w:val="KUJKnormal"/>
      </w:pPr>
    </w:p>
    <w:p w14:paraId="30E8900B" w14:textId="77777777" w:rsidR="003F7B36" w:rsidRDefault="003F7B36" w:rsidP="009460FA">
      <w:pPr>
        <w:pStyle w:val="KUJKnormal"/>
        <w:rPr>
          <w:rFonts w:cs="Arial"/>
          <w:szCs w:val="20"/>
        </w:rPr>
      </w:pPr>
      <w:r>
        <w:t xml:space="preserve">Navržený finanční model na desetileté období byl následně detailně zkoumán a v průběhu let 2022 a 2023 projednáván s dopravcem, přičemž bylo hledáno pro Jihočeský kraj finančně nejvýhodnější řešení. Dopravce hodnoty finančního modelu postupně aktualizoval dle požadavků objednatele. Spolu s tím byla připravována ve spolupráci se zástupcem objednatele advokátní kanceláří Fiala, Tejkal a partneři nová smlouva. </w:t>
      </w:r>
      <w:r>
        <w:rPr>
          <w:rFonts w:cs="Arial"/>
          <w:szCs w:val="20"/>
        </w:rPr>
        <w:t xml:space="preserve">V příloze č. 2 tohoto návrhu je </w:t>
      </w:r>
      <w:r>
        <w:rPr>
          <w:rFonts w:cs="Tahoma"/>
        </w:rPr>
        <w:t>porovnání nákladů kraje ve stávající smlouvě a u nové smlouvy.</w:t>
      </w:r>
    </w:p>
    <w:p w14:paraId="64EACEDC" w14:textId="77777777" w:rsidR="003F7B36" w:rsidRDefault="003F7B36" w:rsidP="009460FA">
      <w:pPr>
        <w:pStyle w:val="KUJKnormal"/>
      </w:pPr>
    </w:p>
    <w:p w14:paraId="1F0EB819" w14:textId="77777777" w:rsidR="003F7B36" w:rsidRDefault="003F7B36" w:rsidP="009460FA">
      <w:pPr>
        <w:pStyle w:val="KUJKnormal"/>
      </w:pPr>
      <w:r>
        <w:t>Na základě aktualizace závazné nabídky pro provozní soubor dle požadavků Jihočeského kraje byla výše kompenzace po uskutečněných jednáních upravena následovně (Kč/vlkm):</w:t>
      </w:r>
    </w:p>
    <w:p w14:paraId="12B95952" w14:textId="77777777" w:rsidR="003F7B36" w:rsidRDefault="003F7B36" w:rsidP="009460FA">
      <w:pPr>
        <w:pStyle w:val="KUJKnormal"/>
      </w:pPr>
    </w:p>
    <w:p w14:paraId="6BA46824" w14:textId="77777777" w:rsidR="003F7B36" w:rsidRDefault="003F7B36" w:rsidP="009460FA">
      <w:pPr>
        <w:pStyle w:val="KUJKnormal"/>
      </w:pPr>
      <w:r>
        <w:t xml:space="preserve">Náklady na období platnosti jízdního řádu 2023/2024 činí 580 202 119 Kč při rozsahu 2 920 284,7 vlkm a požadované výši kompenzace 198,60 Kč/vlkm. </w:t>
      </w:r>
    </w:p>
    <w:p w14:paraId="1D3C269D" w14:textId="77777777" w:rsidR="003F7B36" w:rsidRDefault="003F7B36" w:rsidP="009460FA">
      <w:pPr>
        <w:pStyle w:val="KUJKnormal"/>
      </w:pPr>
      <w:r>
        <w:tab/>
      </w:r>
    </w:p>
    <w:p w14:paraId="27A2207D" w14:textId="77777777" w:rsidR="003F7B36" w:rsidRDefault="003F7B36" w:rsidP="009460FA">
      <w:pPr>
        <w:pStyle w:val="KUJKnormal"/>
      </w:pPr>
      <w:r>
        <w:t xml:space="preserve">Nová smlouva je strukturována do 33 částí. </w:t>
      </w:r>
    </w:p>
    <w:p w14:paraId="11C531E1" w14:textId="77777777" w:rsidR="003F7B36" w:rsidRDefault="003F7B36" w:rsidP="009460FA">
      <w:pPr>
        <w:pStyle w:val="KUJKnormal"/>
      </w:pPr>
    </w:p>
    <w:p w14:paraId="55174FBE" w14:textId="77777777" w:rsidR="003F7B36" w:rsidRDefault="003F7B36" w:rsidP="009460FA">
      <w:pPr>
        <w:pStyle w:val="KUJKnormal"/>
      </w:pPr>
      <w:r>
        <w:t xml:space="preserve">Části I. - VI. obsahují základní ustanovení v podobě účelu a předmětu smlouvy, doby a místa plnění a předpokládaného rozsah ročního dopravního výkonu, který činí 3 050 000 vlkm. V příloze č. 2 smlouvy jsou dopravní výkony aktualizovány, vždy pro příslušné období platnosti jízdního řádu. </w:t>
      </w:r>
    </w:p>
    <w:p w14:paraId="7A5AFF0A" w14:textId="77777777" w:rsidR="003F7B36" w:rsidRDefault="003F7B36" w:rsidP="009460FA">
      <w:pPr>
        <w:pStyle w:val="KUJKnormal"/>
      </w:pPr>
    </w:p>
    <w:p w14:paraId="0FF72CBB" w14:textId="77777777" w:rsidR="003F7B36" w:rsidRDefault="003F7B36" w:rsidP="009460FA">
      <w:pPr>
        <w:pStyle w:val="KUJKnormal"/>
      </w:pPr>
      <w:r>
        <w:t>Část VII. se zabývá přidělením kapacity dráhy (objednávkou jízdního řádu) a využitím železniční infrastruktury jakož i možnostmi změny objednaných výkonů a vlivu na výši kompenzace.</w:t>
      </w:r>
    </w:p>
    <w:p w14:paraId="187BAC6C" w14:textId="77777777" w:rsidR="003F7B36" w:rsidRDefault="003F7B36" w:rsidP="009460FA">
      <w:pPr>
        <w:pStyle w:val="KUJKnormal"/>
      </w:pPr>
    </w:p>
    <w:p w14:paraId="5B925E56" w14:textId="77777777" w:rsidR="003F7B36" w:rsidRDefault="003F7B36" w:rsidP="009460FA">
      <w:pPr>
        <w:pStyle w:val="KUJKnormal"/>
      </w:pPr>
      <w:r>
        <w:t xml:space="preserve">Části VIII. - XI. řeší výši kompenzace, její změnu v závislosti na změně dopravních výkonů (maximální změna v rozsahu je - 10% až + 20 %) a změnu výše kompenzace v návaznosti na upravený finanční model. Úprava finančního modelu je možná o meziroční míru inflace vypočítávanou dle jednotlivých nákladových položek, změnu právních předpisů, změnu ceny za užití dopravní cesty a zařízení služeb, změny evropských či národních předpisů ve vztahu k vybavení kolejových vozidel. Výchozí finanční model je uveden v příloze č. 3 smlouvy. </w:t>
      </w:r>
    </w:p>
    <w:p w14:paraId="1939DE70" w14:textId="77777777" w:rsidR="003F7B36" w:rsidRDefault="003F7B36" w:rsidP="009460FA">
      <w:pPr>
        <w:pStyle w:val="KUJKnormal"/>
      </w:pPr>
    </w:p>
    <w:p w14:paraId="5C173651" w14:textId="77777777" w:rsidR="003F7B36" w:rsidRDefault="003F7B36" w:rsidP="009460FA">
      <w:pPr>
        <w:pStyle w:val="KUJKnormal"/>
      </w:pPr>
      <w:r>
        <w:t>Části XII. - XIII. se zabývají prokázáním objednaného dopravního výkonu včetně finančního vypořádání za neuskutečněný dopravní výkon. Vzor výkazu plnění dopravních výkonů je v příloze č. 4 smlouvy.</w:t>
      </w:r>
    </w:p>
    <w:p w14:paraId="018BB425" w14:textId="77777777" w:rsidR="003F7B36" w:rsidRDefault="003F7B36" w:rsidP="009460FA">
      <w:pPr>
        <w:pStyle w:val="KUJKnormal"/>
      </w:pPr>
    </w:p>
    <w:p w14:paraId="678AA670" w14:textId="77777777" w:rsidR="003F7B36" w:rsidRDefault="003F7B36" w:rsidP="009460FA">
      <w:pPr>
        <w:pStyle w:val="KUJKnormal"/>
      </w:pPr>
      <w:r>
        <w:t>Část XIV. obsahuje platební podmínky úhrady záloh a vypořádání kompenzace za uplynulý kalendářní rok. Stanovení výše plateb je v příloze č. 5 smlouvy.</w:t>
      </w:r>
    </w:p>
    <w:p w14:paraId="4D1FFCF7" w14:textId="77777777" w:rsidR="003F7B36" w:rsidRDefault="003F7B36" w:rsidP="009460FA">
      <w:pPr>
        <w:pStyle w:val="KUJKnormal"/>
      </w:pPr>
    </w:p>
    <w:p w14:paraId="5F3872B6" w14:textId="77777777" w:rsidR="003F7B36" w:rsidRDefault="003F7B36" w:rsidP="009460FA">
      <w:pPr>
        <w:pStyle w:val="KUJKnormal"/>
      </w:pPr>
      <w:r>
        <w:t>Část XV. se podrobně zabývá kvalitou poskytovaných služeb, dodržováním jízdních řádů a přípojných vazeb. Podrobné požadavky na kvalitu a vybavení jsou obsahem přílohy č. 7 smlouvy. Za neplnění kvalitativních ukazatelů jsou následně stanoveny smluvní pokuty (sankce) uvedené v příloze č. 16 smlouvy.</w:t>
      </w:r>
    </w:p>
    <w:p w14:paraId="139587F0" w14:textId="77777777" w:rsidR="003F7B36" w:rsidRDefault="003F7B36" w:rsidP="009460FA">
      <w:pPr>
        <w:pStyle w:val="KUJKnormal"/>
      </w:pPr>
    </w:p>
    <w:p w14:paraId="6A8CB12A" w14:textId="77777777" w:rsidR="003F7B36" w:rsidRDefault="003F7B36" w:rsidP="009460FA">
      <w:pPr>
        <w:pStyle w:val="KUJKnormal"/>
      </w:pPr>
      <w:r>
        <w:t>Části XVI. a XVII. se zabývají řízením a sledováním provozních nepravidelností.</w:t>
      </w:r>
    </w:p>
    <w:p w14:paraId="32759431" w14:textId="77777777" w:rsidR="003F7B36" w:rsidRDefault="003F7B36" w:rsidP="009460FA">
      <w:pPr>
        <w:pStyle w:val="KUJKnormal"/>
      </w:pPr>
    </w:p>
    <w:p w14:paraId="63C2DFE9" w14:textId="77777777" w:rsidR="003F7B36" w:rsidRDefault="003F7B36" w:rsidP="009460FA">
      <w:pPr>
        <w:pStyle w:val="KUJKnormal"/>
      </w:pPr>
      <w:r>
        <w:t>Část XVIII. uvádí další povinnosti dopravce, zejména informovanost o změnách, zapojení do Centrálního dispečinku JIKORD, řádné předávání určených výkazů a dokumentace jak pro zajištění provozu, tak i kontrolní činnost objednatele, včetně rozsahu kontrolní činnosti. Základní popis komunikace dopravce s Centrálním dispečinkem JIKORD je uveden v Příloze č. 18 smlouvy.</w:t>
      </w:r>
    </w:p>
    <w:p w14:paraId="4614CBC1" w14:textId="77777777" w:rsidR="003F7B36" w:rsidRDefault="003F7B36" w:rsidP="009460FA">
      <w:pPr>
        <w:pStyle w:val="KUJKnormal"/>
      </w:pPr>
    </w:p>
    <w:p w14:paraId="26D98A59" w14:textId="77777777" w:rsidR="003F7B36" w:rsidRDefault="003F7B36" w:rsidP="009460FA">
      <w:pPr>
        <w:pStyle w:val="KUJKnormal"/>
      </w:pPr>
      <w:r>
        <w:t xml:space="preserve">Část XIX. se zabývá tarifem a přepravními podmínkami s tím, že dopravce bude akceptovat Systém jednotného tarifu a tarif IDS JK. </w:t>
      </w:r>
    </w:p>
    <w:p w14:paraId="029D4D01" w14:textId="77777777" w:rsidR="003F7B36" w:rsidRDefault="003F7B36" w:rsidP="009460FA">
      <w:pPr>
        <w:pStyle w:val="KUJKnormal"/>
      </w:pPr>
    </w:p>
    <w:p w14:paraId="679FDC94" w14:textId="77777777" w:rsidR="003F7B36" w:rsidRDefault="003F7B36" w:rsidP="009460FA">
      <w:pPr>
        <w:pStyle w:val="KUJKnormal"/>
      </w:pPr>
      <w:r>
        <w:t>Část XX. řeší základní parametry přistoupení dopravce k IDS JK, přičemž podrobné podmínky jsou uvedeny v samostatné smlouvě mezi dopravcem a objednatelem a pravidla stanovení protarifovací ztráty v Příloze č. 13 smlouvy. Dále se zabývá přistoupením dopravce ke krajské jízdence JIKORD plus a JIKORD plus Bavorsko, jejíž podrobné podmínky jsou součástí samostatné smlouvy mezi dopravcem a objednatelem.</w:t>
      </w:r>
    </w:p>
    <w:p w14:paraId="7ADE02F7" w14:textId="77777777" w:rsidR="003F7B36" w:rsidRDefault="003F7B36" w:rsidP="009460FA">
      <w:pPr>
        <w:pStyle w:val="KUJKnormal"/>
      </w:pPr>
    </w:p>
    <w:p w14:paraId="3224AF79" w14:textId="77777777" w:rsidR="003F7B36" w:rsidRDefault="003F7B36" w:rsidP="009460FA">
      <w:pPr>
        <w:pStyle w:val="KUJKnormal"/>
      </w:pPr>
      <w:r>
        <w:t>Část XXI. stanoví postup a smluvní závazky při výlukách dopravní cesty.</w:t>
      </w:r>
    </w:p>
    <w:p w14:paraId="446C849B" w14:textId="77777777" w:rsidR="003F7B36" w:rsidRDefault="003F7B36" w:rsidP="009460FA">
      <w:pPr>
        <w:pStyle w:val="KUJKnormal"/>
      </w:pPr>
    </w:p>
    <w:p w14:paraId="12280B5F" w14:textId="77777777" w:rsidR="003F7B36" w:rsidRDefault="003F7B36" w:rsidP="009460FA">
      <w:pPr>
        <w:pStyle w:val="KUJKnormal"/>
      </w:pPr>
      <w:r>
        <w:t>Část XXII. obsahuje ustanovení o pojištění odpovědnosti dopravce, přičemž minimální limit pojistného plnění činí 30 mil. Kč.</w:t>
      </w:r>
    </w:p>
    <w:p w14:paraId="254905EB" w14:textId="77777777" w:rsidR="003F7B36" w:rsidRDefault="003F7B36" w:rsidP="009460FA">
      <w:pPr>
        <w:pStyle w:val="KUJKnormal"/>
      </w:pPr>
    </w:p>
    <w:p w14:paraId="7D74CA01" w14:textId="77777777" w:rsidR="003F7B36" w:rsidRDefault="003F7B36" w:rsidP="009460FA">
      <w:pPr>
        <w:pStyle w:val="KUJKnormal"/>
      </w:pPr>
      <w:r>
        <w:t>Část XXIII. uvádí bankovní záruku a její podmínky, její výše je minimálně 30 mil. Kč a musí být platná po celou dobu plnění smlouvy.</w:t>
      </w:r>
    </w:p>
    <w:p w14:paraId="04768D11" w14:textId="77777777" w:rsidR="003F7B36" w:rsidRDefault="003F7B36" w:rsidP="009460FA">
      <w:pPr>
        <w:pStyle w:val="KUJKnormal"/>
      </w:pPr>
    </w:p>
    <w:p w14:paraId="530E6CAA" w14:textId="77777777" w:rsidR="003F7B36" w:rsidRDefault="003F7B36" w:rsidP="009460FA">
      <w:pPr>
        <w:pStyle w:val="KUJKnormal"/>
      </w:pPr>
      <w:r>
        <w:t xml:space="preserve">Část XXIV. stanoví podmínky využití poddodavatele pro dílčí plnění smlouvy do maximální výše 40 %, aby nedošlo k porušení ustanovení čl. 4 odst. 7 Nařízení č. 1370/2007 u objednaných výkonů. </w:t>
      </w:r>
    </w:p>
    <w:p w14:paraId="6B6B8508" w14:textId="77777777" w:rsidR="003F7B36" w:rsidRDefault="003F7B36" w:rsidP="009460FA">
      <w:pPr>
        <w:pStyle w:val="KUJKnormal"/>
      </w:pPr>
    </w:p>
    <w:p w14:paraId="16DB647E" w14:textId="77777777" w:rsidR="003F7B36" w:rsidRDefault="003F7B36" w:rsidP="009460FA">
      <w:pPr>
        <w:pStyle w:val="KUJKnormal"/>
      </w:pPr>
      <w:r>
        <w:t>Část XXV. řeší informační povinnosti dopravce ve vztahu k objednateli, průzkumy frekvence, průzkumy spokojenosti cestujících a výkazy potřebné pro dokladování objednaného výkonu.</w:t>
      </w:r>
    </w:p>
    <w:p w14:paraId="79AAEE7E" w14:textId="77777777" w:rsidR="003F7B36" w:rsidRDefault="003F7B36" w:rsidP="009460FA">
      <w:pPr>
        <w:pStyle w:val="KUJKnormal"/>
      </w:pPr>
    </w:p>
    <w:p w14:paraId="2D8C44DF" w14:textId="77777777" w:rsidR="003F7B36" w:rsidRDefault="003F7B36" w:rsidP="009460FA">
      <w:pPr>
        <w:pStyle w:val="KUJKnormal"/>
      </w:pPr>
      <w:r>
        <w:t>Část XXVI. se zabývá podmínkami kontrolní činnosti prováděné objednatelem. Na ni navazuje část XXVII., která se zabývá postupem při uplatňování smluvních pokut.</w:t>
      </w:r>
    </w:p>
    <w:p w14:paraId="793AE478" w14:textId="77777777" w:rsidR="003F7B36" w:rsidRDefault="003F7B36" w:rsidP="009460FA">
      <w:pPr>
        <w:pStyle w:val="KUJKnormal"/>
      </w:pPr>
    </w:p>
    <w:p w14:paraId="635BB80B" w14:textId="77777777" w:rsidR="003F7B36" w:rsidRDefault="003F7B36" w:rsidP="009460FA">
      <w:pPr>
        <w:pStyle w:val="KUJKnormal"/>
      </w:pPr>
      <w:r>
        <w:t>Část XXVIII. vymezuje závažné porušení smlouvy a na ni navazuje část XXIX., která uvádí výpovědní důvody v případě neplnění smlouvy.</w:t>
      </w:r>
    </w:p>
    <w:p w14:paraId="50B05FED" w14:textId="77777777" w:rsidR="003F7B36" w:rsidRDefault="003F7B36" w:rsidP="009460FA">
      <w:pPr>
        <w:pStyle w:val="KUJKnormal"/>
      </w:pPr>
    </w:p>
    <w:p w14:paraId="195CF073" w14:textId="77777777" w:rsidR="003F7B36" w:rsidRDefault="003F7B36" w:rsidP="009460FA">
      <w:pPr>
        <w:pStyle w:val="KUJKnormal"/>
      </w:pPr>
      <w:r>
        <w:t>Část XXX. stanovuje způsob vzájemné komunikace smluvních stran a odpovědné osoby.</w:t>
      </w:r>
    </w:p>
    <w:p w14:paraId="1D812E17" w14:textId="77777777" w:rsidR="003F7B36" w:rsidRDefault="003F7B36" w:rsidP="009460FA">
      <w:pPr>
        <w:pStyle w:val="KUJKnormal"/>
      </w:pPr>
      <w:r>
        <w:tab/>
      </w:r>
    </w:p>
    <w:p w14:paraId="7FD1F8AD" w14:textId="77777777" w:rsidR="003F7B36" w:rsidRDefault="003F7B36" w:rsidP="009460FA">
      <w:pPr>
        <w:pStyle w:val="KUJKnormal"/>
      </w:pPr>
      <w:r>
        <w:t>Část XXXI. obsahuje ostatní ujednání, např. zveřejnění smlouvy, možnost přenesení práv a povinností či způsob řešení případných sporů.</w:t>
      </w:r>
    </w:p>
    <w:p w14:paraId="353DFA43" w14:textId="77777777" w:rsidR="003F7B36" w:rsidRDefault="003F7B36" w:rsidP="009460FA">
      <w:pPr>
        <w:pStyle w:val="KUJKnormal"/>
      </w:pPr>
    </w:p>
    <w:p w14:paraId="25B6A818" w14:textId="77777777" w:rsidR="003F7B36" w:rsidRDefault="003F7B36" w:rsidP="009460FA">
      <w:pPr>
        <w:pStyle w:val="KUJKnormal"/>
      </w:pPr>
      <w:r>
        <w:t>Část XXXII. uvádí, které údaje smlouvy považuje dopravce za obchodní tajemství a informace dle Zákona č. 106/1999 Sb. a podrobně řeší, jak s nimi bude nakládáno. Podrobně je popsáno v Příloze č. 14.</w:t>
      </w:r>
    </w:p>
    <w:p w14:paraId="6B5B6CB2" w14:textId="77777777" w:rsidR="003F7B36" w:rsidRDefault="003F7B36" w:rsidP="009460FA">
      <w:pPr>
        <w:pStyle w:val="KUJKnormal"/>
      </w:pPr>
    </w:p>
    <w:p w14:paraId="2D65C98C" w14:textId="77777777" w:rsidR="003F7B36" w:rsidRDefault="003F7B36" w:rsidP="009460FA">
      <w:pPr>
        <w:pStyle w:val="KUJKnormal"/>
      </w:pPr>
      <w:r>
        <w:t xml:space="preserve">Část XXXIII. obsahuje standardní závěrečná ustanovení, v bodě č. 208 je zmíněno ukončení současné smlouvy. Smlouvu je možné vypovědět na základě občanského zákoníku dohodou dle Zákona č. 89/2012 Sb., Části čtvrté, Hlavy I, Dílu 7 – Zánik závazků. </w:t>
      </w:r>
    </w:p>
    <w:p w14:paraId="34F1D474" w14:textId="77777777" w:rsidR="003F7B36" w:rsidRDefault="003F7B36" w:rsidP="009460FA">
      <w:pPr>
        <w:pStyle w:val="KUJKnormal"/>
      </w:pPr>
    </w:p>
    <w:p w14:paraId="3C7042C1" w14:textId="77777777" w:rsidR="003F7B36" w:rsidRDefault="003F7B36" w:rsidP="009460FA">
      <w:pPr>
        <w:pStyle w:val="KUJKnormal"/>
      </w:pPr>
      <w:r>
        <w:t xml:space="preserve">Nedílnou součástí smlouvy jsou přílohy, jejíchž výčet je níže: </w:t>
      </w:r>
    </w:p>
    <w:p w14:paraId="39BDAD12" w14:textId="77777777" w:rsidR="003F7B36" w:rsidRDefault="003F7B36" w:rsidP="009460FA">
      <w:pPr>
        <w:pStyle w:val="KUJKnormal"/>
      </w:pPr>
    </w:p>
    <w:p w14:paraId="3CA565E7" w14:textId="77777777" w:rsidR="003F7B36" w:rsidRDefault="003F7B36" w:rsidP="009460FA">
      <w:pPr>
        <w:pStyle w:val="KUJKnormal"/>
      </w:pPr>
      <w:r>
        <w:t>Příloha č. 1</w:t>
      </w:r>
      <w:r>
        <w:tab/>
        <w:t>Provozně marketingová studie</w:t>
      </w:r>
    </w:p>
    <w:p w14:paraId="30432B02" w14:textId="77777777" w:rsidR="003F7B36" w:rsidRDefault="003F7B36" w:rsidP="009460FA">
      <w:pPr>
        <w:pStyle w:val="KUJKnormal"/>
      </w:pPr>
      <w:r>
        <w:t>Příloha č. 2</w:t>
      </w:r>
      <w:r>
        <w:tab/>
        <w:t xml:space="preserve">Struktura Objednaného Dopravního výkonu </w:t>
      </w:r>
    </w:p>
    <w:p w14:paraId="1BD5A845" w14:textId="77777777" w:rsidR="003F7B36" w:rsidRDefault="003F7B36" w:rsidP="009460FA">
      <w:pPr>
        <w:pStyle w:val="KUJKnormal"/>
      </w:pPr>
      <w:r>
        <w:t>Příloha č. 3</w:t>
      </w:r>
      <w:r>
        <w:tab/>
        <w:t>Finanční model</w:t>
      </w:r>
    </w:p>
    <w:p w14:paraId="6EA52FE9" w14:textId="77777777" w:rsidR="003F7B36" w:rsidRDefault="003F7B36" w:rsidP="009460FA">
      <w:pPr>
        <w:pStyle w:val="KUJKnormal"/>
      </w:pPr>
      <w:r>
        <w:t>Příloha č. 4</w:t>
      </w:r>
      <w:r>
        <w:tab/>
        <w:t>Vzor výkazů plnění Dopravního výkonu</w:t>
      </w:r>
    </w:p>
    <w:p w14:paraId="522BFD79" w14:textId="77777777" w:rsidR="003F7B36" w:rsidRDefault="003F7B36" w:rsidP="009460FA">
      <w:pPr>
        <w:pStyle w:val="KUJKnormal"/>
      </w:pPr>
      <w:r>
        <w:t>Příloha č. 5</w:t>
      </w:r>
      <w:r>
        <w:tab/>
        <w:t xml:space="preserve">Stanovení výše plateb </w:t>
      </w:r>
    </w:p>
    <w:p w14:paraId="7CA7E04C" w14:textId="77777777" w:rsidR="003F7B36" w:rsidRDefault="003F7B36" w:rsidP="009460FA">
      <w:pPr>
        <w:pStyle w:val="KUJKnormal"/>
      </w:pPr>
      <w:r>
        <w:t>Příloha č. 6</w:t>
      </w:r>
      <w:r>
        <w:tab/>
        <w:t>Vzor výkazu nákladů a výnosů</w:t>
      </w:r>
    </w:p>
    <w:p w14:paraId="4F54BF8A" w14:textId="77777777" w:rsidR="003F7B36" w:rsidRDefault="003F7B36" w:rsidP="009460FA">
      <w:pPr>
        <w:pStyle w:val="KUJKnormal"/>
      </w:pPr>
      <w:r>
        <w:t>Příloha č. 7</w:t>
      </w:r>
      <w:r>
        <w:tab/>
        <w:t xml:space="preserve">Podrobné požadavky na kvalitu a vybavení </w:t>
      </w:r>
    </w:p>
    <w:p w14:paraId="0144FBC3" w14:textId="77777777" w:rsidR="003F7B36" w:rsidRDefault="003F7B36" w:rsidP="009460FA">
      <w:pPr>
        <w:pStyle w:val="KUJKnormal"/>
      </w:pPr>
      <w:r>
        <w:t>Příloha č. 8</w:t>
      </w:r>
      <w:r>
        <w:tab/>
        <w:t>Neobsazena</w:t>
      </w:r>
    </w:p>
    <w:p w14:paraId="4E7B0729" w14:textId="77777777" w:rsidR="003F7B36" w:rsidRDefault="003F7B36" w:rsidP="009460FA">
      <w:pPr>
        <w:pStyle w:val="KUJKnormal"/>
      </w:pPr>
      <w:r>
        <w:t>Příloha č. 9</w:t>
      </w:r>
      <w:r>
        <w:tab/>
        <w:t>Vzor výkazu přepravených cestujících</w:t>
      </w:r>
    </w:p>
    <w:p w14:paraId="60CE86E3" w14:textId="77777777" w:rsidR="003F7B36" w:rsidRDefault="003F7B36" w:rsidP="009460FA">
      <w:pPr>
        <w:pStyle w:val="KUJKnormal"/>
      </w:pPr>
      <w:r>
        <w:t>Příloha č. 10</w:t>
      </w:r>
      <w:r>
        <w:tab/>
        <w:t>Vzor průkazu ke kontrolní činnosti</w:t>
      </w:r>
    </w:p>
    <w:p w14:paraId="6E199358" w14:textId="77777777" w:rsidR="003F7B36" w:rsidRDefault="003F7B36" w:rsidP="009460FA">
      <w:pPr>
        <w:pStyle w:val="KUJKnormal"/>
      </w:pPr>
      <w:r>
        <w:t>Příloha č. 11</w:t>
      </w:r>
      <w:r>
        <w:tab/>
        <w:t>Vzor kontrolního protokolu</w:t>
      </w:r>
    </w:p>
    <w:p w14:paraId="663691D9" w14:textId="77777777" w:rsidR="003F7B36" w:rsidRDefault="003F7B36" w:rsidP="009460FA">
      <w:pPr>
        <w:pStyle w:val="KUJKnormal"/>
      </w:pPr>
      <w:r>
        <w:t>Příloha č. 12</w:t>
      </w:r>
      <w:r>
        <w:tab/>
        <w:t xml:space="preserve">Kódy zpoždění </w:t>
      </w:r>
    </w:p>
    <w:p w14:paraId="56862DD6" w14:textId="77777777" w:rsidR="003F7B36" w:rsidRDefault="003F7B36" w:rsidP="009460FA">
      <w:pPr>
        <w:pStyle w:val="KUJKnormal"/>
      </w:pPr>
      <w:r>
        <w:t>Příloha č. 13</w:t>
      </w:r>
      <w:r>
        <w:tab/>
        <w:t xml:space="preserve">Pravidla stanovení úhrady protarifovací ztráty IDS </w:t>
      </w:r>
    </w:p>
    <w:p w14:paraId="74995C2E" w14:textId="77777777" w:rsidR="003F7B36" w:rsidRDefault="003F7B36" w:rsidP="009460FA">
      <w:pPr>
        <w:pStyle w:val="KUJKnormal"/>
      </w:pPr>
      <w:r>
        <w:t>Příloha č. 14</w:t>
      </w:r>
      <w:r>
        <w:tab/>
        <w:t>Obchodní tajemství Dopravce</w:t>
      </w:r>
    </w:p>
    <w:p w14:paraId="3A725110" w14:textId="77777777" w:rsidR="003F7B36" w:rsidRDefault="003F7B36" w:rsidP="009460FA">
      <w:pPr>
        <w:pStyle w:val="KUJKnormal"/>
      </w:pPr>
      <w:r>
        <w:t>Příloha č. 15</w:t>
      </w:r>
      <w:r>
        <w:tab/>
        <w:t>Definice pojmů pro účely Smlouvy</w:t>
      </w:r>
    </w:p>
    <w:p w14:paraId="4E9CB27F" w14:textId="77777777" w:rsidR="003F7B36" w:rsidRDefault="003F7B36" w:rsidP="009460FA">
      <w:pPr>
        <w:pStyle w:val="KUJKnormal"/>
      </w:pPr>
      <w:r>
        <w:t>Příloha č. 16</w:t>
      </w:r>
      <w:r>
        <w:tab/>
        <w:t>Tabulka smluvních pokut</w:t>
      </w:r>
    </w:p>
    <w:p w14:paraId="6C788A40" w14:textId="77777777" w:rsidR="003F7B36" w:rsidRDefault="003F7B36" w:rsidP="009460FA">
      <w:pPr>
        <w:pStyle w:val="KUJKnormal"/>
      </w:pPr>
      <w:r>
        <w:t>Příloha č. 17</w:t>
      </w:r>
      <w:r>
        <w:tab/>
        <w:t>Zajištění přepravy osob s omezenou schopností pohybu a orientace</w:t>
      </w:r>
    </w:p>
    <w:p w14:paraId="675CAA77" w14:textId="77777777" w:rsidR="003F7B36" w:rsidRDefault="003F7B36" w:rsidP="009460FA">
      <w:pPr>
        <w:pStyle w:val="KUJKnormal"/>
      </w:pPr>
      <w:r>
        <w:t>Příloha č. 18</w:t>
      </w:r>
      <w:r>
        <w:tab/>
        <w:t>Technická specifikace komunikace mezi dispečinky JIKORD a ČD</w:t>
      </w:r>
    </w:p>
    <w:p w14:paraId="690482C0" w14:textId="77777777" w:rsidR="003F7B36" w:rsidRDefault="003F7B36" w:rsidP="009460FA">
      <w:pPr>
        <w:pStyle w:val="KUJKnormal"/>
      </w:pPr>
    </w:p>
    <w:p w14:paraId="6D18F2B0" w14:textId="77777777" w:rsidR="003F7B36" w:rsidRDefault="003F7B36" w:rsidP="009460FA">
      <w:pPr>
        <w:pStyle w:val="KUJKnormal"/>
        <w:rPr>
          <w:rFonts w:cs="Arial"/>
          <w:color w:val="4472C4"/>
          <w:szCs w:val="20"/>
        </w:rPr>
      </w:pPr>
      <w:r>
        <w:t>Záměr je plně v souladu s platnou legislativou, Nařízením Evropského parlamentu a Rady (ES) 1370/2007 o veřejných službách v přepravě cestujících na železnici a silnici, v aktuálním znění a zákonem 194/2010 Sb. o veřejných službách v přepravě cestujících. Přímo použitelné Nařízení (ES)1370/2007 (čl. 5 odst. 4) umožňuje přímé zadání smlouvy v železniční dopravě na dobu 10 let. Podpis smlouvy musí být uskutečněn nejdříve rok po zveřejnění prenotifikace, tj. po 3. 11. 2023.</w:t>
      </w:r>
    </w:p>
    <w:p w14:paraId="71233C33" w14:textId="77777777" w:rsidR="003F7B36" w:rsidRDefault="003F7B36" w:rsidP="009460FA">
      <w:pPr>
        <w:pStyle w:val="KUJKnormal"/>
        <w:rPr>
          <w:rFonts w:cs="Arial"/>
          <w:b/>
          <w:bCs/>
          <w:szCs w:val="20"/>
        </w:rPr>
      </w:pPr>
    </w:p>
    <w:p w14:paraId="6FC970E0" w14:textId="77777777" w:rsidR="003F7B36" w:rsidRDefault="003F7B36" w:rsidP="009460FA">
      <w:pPr>
        <w:pStyle w:val="KUJKnormal"/>
      </w:pPr>
      <w:r>
        <w:rPr>
          <w:rFonts w:cs="Arial"/>
          <w:szCs w:val="20"/>
          <w:lang w:eastAsia="cs-CZ"/>
        </w:rPr>
        <w:t xml:space="preserve">V usnesení se navrhuje </w:t>
      </w:r>
      <w:r>
        <w:rPr>
          <w:rFonts w:cs="Arial"/>
          <w:color w:val="000000"/>
          <w:szCs w:val="20"/>
          <w:lang w:eastAsia="cs-CZ"/>
        </w:rPr>
        <w:t xml:space="preserve">zastupitelstvu kraje schválit Smlouvu o veřejných službách v přepravě cestujících veřejnou drážní osobní dopravou k zajištění dopravní obslužnosti vlaky regionální dopravy v rámci elektrické trakce a ukládá se </w:t>
      </w:r>
      <w:r>
        <w:rPr>
          <w:bCs/>
          <w:lang w:eastAsia="cs-CZ"/>
        </w:rPr>
        <w:t>JUDr. Lukáši Glaserovi, řediteli krajského úřadu, předložit k podpisu hejtmanovi kraje Smlouvu o veřejných službách v přepravě cestujících veřejnou drážní osobní dopravou k zajištění dopravní obslužnosti vlaky regionální dopravy v rámci elektrické trakce podle části I. usnesení</w:t>
      </w:r>
      <w:r>
        <w:rPr>
          <w:rFonts w:cs="Arial"/>
          <w:color w:val="000000"/>
          <w:szCs w:val="20"/>
          <w:lang w:eastAsia="cs-CZ"/>
        </w:rPr>
        <w:t>.</w:t>
      </w:r>
    </w:p>
    <w:p w14:paraId="1DFC476D" w14:textId="77777777" w:rsidR="003F7B36" w:rsidRDefault="003F7B36" w:rsidP="00A83804">
      <w:pPr>
        <w:pStyle w:val="KUJKnormal"/>
      </w:pPr>
    </w:p>
    <w:p w14:paraId="724CD26C" w14:textId="77777777" w:rsidR="003F7B36" w:rsidRDefault="003F7B36" w:rsidP="00A83804">
      <w:pPr>
        <w:pStyle w:val="KUJKnormal"/>
      </w:pPr>
    </w:p>
    <w:p w14:paraId="0831716C" w14:textId="77777777" w:rsidR="003F7B36" w:rsidRDefault="003F7B36" w:rsidP="00A83804">
      <w:pPr>
        <w:pStyle w:val="KUJKnormal"/>
      </w:pPr>
      <w:r>
        <w:t>Finanční nároky a krytí:</w:t>
      </w:r>
      <w:r w:rsidRPr="009460FA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Prostředky budou alokovány po schválení rozpočtu Jihočeského kraje na rok 2024 zastupitelstvem kraje z rozpočtu ORJ 10, § 2292, pol. 5213 (453 741 250,- Kč) a z účelové dotace ze státního rozpočtu (126 460 869,- Kč).</w:t>
      </w:r>
    </w:p>
    <w:p w14:paraId="6BD8FD32" w14:textId="77777777" w:rsidR="003F7B36" w:rsidRDefault="003F7B36" w:rsidP="00A83804">
      <w:pPr>
        <w:pStyle w:val="KUJKnormal"/>
      </w:pPr>
    </w:p>
    <w:p w14:paraId="7E765382" w14:textId="77777777" w:rsidR="003F7B36" w:rsidRDefault="003F7B36" w:rsidP="00A83804">
      <w:pPr>
        <w:pStyle w:val="KUJKnormal"/>
      </w:pPr>
    </w:p>
    <w:p w14:paraId="1C6E953E" w14:textId="77777777" w:rsidR="003F7B36" w:rsidRDefault="003F7B36" w:rsidP="00AB386F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>Souhlasím za předpokladu schválení návrhu rozpočtu JčK na rok 2024 s odpovídající finanční alokací.</w:t>
      </w:r>
    </w:p>
    <w:p w14:paraId="59603E78" w14:textId="77777777" w:rsidR="003F7B36" w:rsidRPr="00A521E1" w:rsidRDefault="003F7B36" w:rsidP="00767BD0">
      <w:pPr>
        <w:pStyle w:val="KUJKnormal"/>
      </w:pPr>
    </w:p>
    <w:p w14:paraId="5C495E5B" w14:textId="77777777" w:rsidR="003F7B36" w:rsidRPr="00A521E1" w:rsidRDefault="003F7B36" w:rsidP="004147A6">
      <w:pPr>
        <w:pStyle w:val="KUJKnormal"/>
      </w:pPr>
      <w:r>
        <w:t>Vyjádření OPZU: Mgr. Markéta Procházková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05B59DF5" w14:textId="77777777" w:rsidR="003F7B36" w:rsidRDefault="003F7B36" w:rsidP="00A83804">
      <w:pPr>
        <w:pStyle w:val="KUJKnormal"/>
      </w:pPr>
    </w:p>
    <w:p w14:paraId="23796BC4" w14:textId="77777777" w:rsidR="003F7B36" w:rsidRDefault="003F7B36" w:rsidP="00A83804">
      <w:pPr>
        <w:pStyle w:val="KUJKnormal"/>
      </w:pPr>
      <w:r>
        <w:t>Návrh projednán (stanoviska):</w:t>
      </w:r>
    </w:p>
    <w:p w14:paraId="0427F4AE" w14:textId="77777777" w:rsidR="003F7B36" w:rsidRDefault="003F7B36" w:rsidP="009460FA">
      <w:pPr>
        <w:pStyle w:val="KUJKnormal"/>
      </w:pPr>
      <w:r>
        <w:t>- JIKORD s.r.o.</w:t>
      </w:r>
    </w:p>
    <w:p w14:paraId="0BE26CB7" w14:textId="77777777" w:rsidR="003F7B36" w:rsidRPr="00767BD0" w:rsidRDefault="003F7B36" w:rsidP="009460FA">
      <w:pPr>
        <w:pStyle w:val="KUJKnormal"/>
      </w:pPr>
      <w:r w:rsidRPr="00767BD0">
        <w:t>- Rada kraje - usnesení č. 1189/2023/RK-77 ze dne 26. 10. 2023, doporučení ke schválení</w:t>
      </w:r>
    </w:p>
    <w:p w14:paraId="0871501F" w14:textId="77777777" w:rsidR="003F7B36" w:rsidRDefault="003F7B36" w:rsidP="009460FA">
      <w:pPr>
        <w:pStyle w:val="KUJKnormal"/>
      </w:pPr>
      <w:r>
        <w:t>- Dopravní výbor zastupitelstva kraje dne 31. 10. 2023</w:t>
      </w:r>
    </w:p>
    <w:p w14:paraId="7E1B6C1B" w14:textId="77777777" w:rsidR="003F7B36" w:rsidRDefault="003F7B36" w:rsidP="00A83804">
      <w:pPr>
        <w:pStyle w:val="KUJKnormal"/>
      </w:pPr>
    </w:p>
    <w:p w14:paraId="7D0F4682" w14:textId="77777777" w:rsidR="003F7B36" w:rsidRPr="007939A8" w:rsidRDefault="003F7B36" w:rsidP="00A83804">
      <w:pPr>
        <w:pStyle w:val="KUJKtucny"/>
      </w:pPr>
      <w:r w:rsidRPr="007939A8">
        <w:t>PŘÍLOHY:</w:t>
      </w:r>
    </w:p>
    <w:p w14:paraId="4E10EF6C" w14:textId="77777777" w:rsidR="003F7B36" w:rsidRPr="00B52AA9" w:rsidRDefault="003F7B36" w:rsidP="00F84A56">
      <w:pPr>
        <w:pStyle w:val="KUJKcislovany"/>
        <w:numPr>
          <w:ilvl w:val="0"/>
          <w:numId w:val="0"/>
        </w:numPr>
        <w:jc w:val="left"/>
      </w:pPr>
      <w:r>
        <w:t xml:space="preserve">- Příloha č. 1 - Smlouva o veřejných službách v přepravě cestujících veřejnou drážní osobní dopravou k zajištění dopravní obslužnosti vlaky regionální dopravy v rámci elektrické trakce </w:t>
      </w:r>
      <w:r w:rsidRPr="0081756D">
        <w:t xml:space="preserve"> (</w:t>
      </w:r>
      <w:r>
        <w:t>ZK091123_408_příloha_1_Smlouva_elektrická_trakce_ČD_text.pdf</w:t>
      </w:r>
      <w:r w:rsidRPr="0081756D">
        <w:t>)</w:t>
      </w:r>
    </w:p>
    <w:p w14:paraId="7ABDE85C" w14:textId="77777777" w:rsidR="003F7B36" w:rsidRPr="00B52AA9" w:rsidRDefault="003F7B36" w:rsidP="00F84A56">
      <w:pPr>
        <w:pStyle w:val="KUJKcislovany"/>
        <w:numPr>
          <w:ilvl w:val="0"/>
          <w:numId w:val="0"/>
        </w:numPr>
        <w:jc w:val="left"/>
      </w:pPr>
      <w:r>
        <w:t xml:space="preserve">- Příloha č. 2 - Srovnávací tabulka </w:t>
      </w:r>
      <w:r w:rsidRPr="0081756D">
        <w:t xml:space="preserve"> (</w:t>
      </w:r>
      <w:r>
        <w:t>ZK091123_408_příloha_2_Smlouva_elektrická_trakce_ČD_srovnávací_tabulka.xlsx</w:t>
      </w:r>
      <w:r w:rsidRPr="0081756D">
        <w:t>)</w:t>
      </w:r>
    </w:p>
    <w:p w14:paraId="6288015D" w14:textId="77777777" w:rsidR="003F7B36" w:rsidRDefault="003F7B36" w:rsidP="00A83804">
      <w:pPr>
        <w:pStyle w:val="KUJKnormal"/>
      </w:pPr>
    </w:p>
    <w:p w14:paraId="16A93503" w14:textId="77777777" w:rsidR="003F7B36" w:rsidRDefault="003F7B36" w:rsidP="00F84A56">
      <w:pPr>
        <w:pStyle w:val="KUJKtucny"/>
      </w:pPr>
      <w:r>
        <w:t>Vzhledem k obsáhlosti (122 stran, 6,608 MB) je příloha č. 1 (</w:t>
      </w:r>
      <w:r>
        <w:rPr>
          <w:lang w:eastAsia="cs-CZ"/>
        </w:rPr>
        <w:t xml:space="preserve">Smlouva o veřejných službách v přepravě cestujících veřejnou drážní osobní dopravou k zajištění dopravní obslužnosti vlaky regionální dopravy v rámci elektrické trakce) </w:t>
      </w:r>
      <w:r>
        <w:t>pouze v elektronické podobě.</w:t>
      </w:r>
    </w:p>
    <w:p w14:paraId="746380F7" w14:textId="77777777" w:rsidR="003F7B36" w:rsidRDefault="003F7B36" w:rsidP="00F84A56">
      <w:pPr>
        <w:pStyle w:val="KUJKnormal"/>
      </w:pPr>
    </w:p>
    <w:p w14:paraId="28576B82" w14:textId="77777777" w:rsidR="003F7B36" w:rsidRDefault="003F7B36" w:rsidP="00F84A56">
      <w:pPr>
        <w:pStyle w:val="KUJKtucny"/>
      </w:pPr>
      <w:r>
        <w:t xml:space="preserve">Zodpovídá: </w:t>
      </w:r>
      <w:r>
        <w:rPr>
          <w:rFonts w:cs="Arial"/>
          <w:b w:val="0"/>
          <w:bCs/>
          <w:szCs w:val="20"/>
        </w:rPr>
        <w:t xml:space="preserve">vedoucí ODSH </w:t>
      </w:r>
      <w:r>
        <w:rPr>
          <w:b w:val="0"/>
          <w:bCs/>
        </w:rPr>
        <w:t>-</w:t>
      </w:r>
      <w:r>
        <w:rPr>
          <w:rFonts w:cs="Arial"/>
          <w:b w:val="0"/>
          <w:bCs/>
          <w:szCs w:val="20"/>
        </w:rPr>
        <w:t xml:space="preserve"> JUDr. Andrea Tetourová</w:t>
      </w:r>
    </w:p>
    <w:p w14:paraId="3CC423BB" w14:textId="77777777" w:rsidR="003F7B36" w:rsidRDefault="003F7B36" w:rsidP="00F84A56">
      <w:pPr>
        <w:pStyle w:val="KUJKnormal"/>
      </w:pPr>
    </w:p>
    <w:p w14:paraId="4B9B9E0A" w14:textId="77777777" w:rsidR="003F7B36" w:rsidRDefault="003F7B36" w:rsidP="00F84A56">
      <w:pPr>
        <w:pStyle w:val="KUJKnormal"/>
      </w:pPr>
      <w:r>
        <w:t>Termín kontroly: 30. 11. 2023</w:t>
      </w:r>
    </w:p>
    <w:p w14:paraId="2C0ACF0F" w14:textId="77777777" w:rsidR="003F7B36" w:rsidRDefault="003F7B36" w:rsidP="00F84A56">
      <w:pPr>
        <w:pStyle w:val="KUJKnormal"/>
      </w:pPr>
      <w:r>
        <w:t>Termín splnění: 30. 11. 2023</w:t>
      </w:r>
    </w:p>
    <w:p w14:paraId="35B63BBB" w14:textId="77777777" w:rsidR="003F7B36" w:rsidRDefault="003F7B3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53DB" w14:textId="77777777" w:rsidR="003F7B36" w:rsidRDefault="003F7B36" w:rsidP="003F7B36">
    <w:r>
      <w:rPr>
        <w:noProof/>
      </w:rPr>
      <w:pict w14:anchorId="7859872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3B1495A" w14:textId="77777777" w:rsidR="003F7B36" w:rsidRPr="005F485E" w:rsidRDefault="003F7B36" w:rsidP="003F7B3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357F1DD" w14:textId="77777777" w:rsidR="003F7B36" w:rsidRPr="005F485E" w:rsidRDefault="003F7B36" w:rsidP="003F7B3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DA2DF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F27E9C6" w14:textId="77777777" w:rsidR="003F7B36" w:rsidRDefault="003F7B36" w:rsidP="003F7B36">
    <w:r>
      <w:pict w14:anchorId="0C73DB50">
        <v:rect id="_x0000_i1026" style="width:481.9pt;height:2pt" o:hralign="center" o:hrstd="t" o:hrnoshade="t" o:hr="t" fillcolor="black" stroked="f"/>
      </w:pict>
    </w:r>
  </w:p>
  <w:p w14:paraId="2BCBBDBD" w14:textId="77777777" w:rsidR="003F7B36" w:rsidRPr="003F7B36" w:rsidRDefault="003F7B36" w:rsidP="003F7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016206">
    <w:abstractNumId w:val="1"/>
  </w:num>
  <w:num w:numId="2" w16cid:durableId="1171331863">
    <w:abstractNumId w:val="2"/>
  </w:num>
  <w:num w:numId="3" w16cid:durableId="165021694">
    <w:abstractNumId w:val="9"/>
  </w:num>
  <w:num w:numId="4" w16cid:durableId="588001195">
    <w:abstractNumId w:val="7"/>
  </w:num>
  <w:num w:numId="5" w16cid:durableId="1329406216">
    <w:abstractNumId w:val="0"/>
  </w:num>
  <w:num w:numId="6" w16cid:durableId="1983271415">
    <w:abstractNumId w:val="3"/>
  </w:num>
  <w:num w:numId="7" w16cid:durableId="744306494">
    <w:abstractNumId w:val="6"/>
  </w:num>
  <w:num w:numId="8" w16cid:durableId="691106003">
    <w:abstractNumId w:val="4"/>
  </w:num>
  <w:num w:numId="9" w16cid:durableId="818378440">
    <w:abstractNumId w:val="5"/>
  </w:num>
  <w:num w:numId="10" w16cid:durableId="1097212677">
    <w:abstractNumId w:val="8"/>
  </w:num>
  <w:num w:numId="11" w16cid:durableId="207670761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3F7B36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1890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2023-11-10T11:17:00Z</dcterms:created>
  <dcterms:modified xsi:type="dcterms:W3CDTF">2023-11-10T11:17:00Z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6417195</vt:i4>
  </property>
  <property fmtid="{D5CDD505-2E9C-101B-9397-08002B2CF9AE}" pid="5" name="UlozitJako">
    <vt:lpwstr>C:\Users\mrazkova\AppData\Local\Temp\iU15389652\Zastupitelstvo\2023-11-09\Navrhy\408-ZK-23.</vt:lpwstr>
  </property>
  <property fmtid="{D5CDD505-2E9C-101B-9397-08002B2CF9AE}" pid="6" name="Zpracovat">
    <vt:bool>false</vt:bool>
  </property>
</Properties>
</file>