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F52C74" w14:paraId="0B2E917E" w14:textId="77777777" w:rsidTr="009F04DD">
        <w:trPr>
          <w:trHeight w:hRule="exact" w:val="397"/>
        </w:trPr>
        <w:tc>
          <w:tcPr>
            <w:tcW w:w="2376" w:type="dxa"/>
            <w:hideMark/>
          </w:tcPr>
          <w:p w14:paraId="7CD4313C" w14:textId="77777777" w:rsidR="00F52C74" w:rsidRDefault="00F52C74" w:rsidP="00970720">
            <w:pPr>
              <w:pStyle w:val="KUJKtucny"/>
            </w:pPr>
            <w:r>
              <w:t>Datum jednání:</w:t>
            </w:r>
          </w:p>
        </w:tc>
        <w:tc>
          <w:tcPr>
            <w:tcW w:w="3828" w:type="dxa"/>
            <w:hideMark/>
          </w:tcPr>
          <w:p w14:paraId="7371C6F3" w14:textId="77777777" w:rsidR="00F52C74" w:rsidRDefault="00F52C74" w:rsidP="00970720">
            <w:pPr>
              <w:pStyle w:val="KUJKnormal"/>
            </w:pPr>
            <w:r>
              <w:t>09. 11. 2023</w:t>
            </w:r>
          </w:p>
        </w:tc>
        <w:tc>
          <w:tcPr>
            <w:tcW w:w="2126" w:type="dxa"/>
            <w:hideMark/>
          </w:tcPr>
          <w:p w14:paraId="6EEA57BA" w14:textId="77777777" w:rsidR="00F52C74" w:rsidRDefault="00F52C74" w:rsidP="00970720">
            <w:pPr>
              <w:pStyle w:val="KUJKtucny"/>
            </w:pPr>
            <w:r>
              <w:t>Bod programu:</w:t>
            </w:r>
          </w:p>
        </w:tc>
        <w:tc>
          <w:tcPr>
            <w:tcW w:w="850" w:type="dxa"/>
          </w:tcPr>
          <w:p w14:paraId="2F3479BA" w14:textId="77777777" w:rsidR="00F52C74" w:rsidRDefault="00F52C74" w:rsidP="00970720">
            <w:pPr>
              <w:pStyle w:val="KUJKnormal"/>
            </w:pPr>
          </w:p>
        </w:tc>
      </w:tr>
      <w:tr w:rsidR="00F52C74" w14:paraId="39D2BD62" w14:textId="77777777" w:rsidTr="009F04DD">
        <w:trPr>
          <w:cantSplit/>
          <w:trHeight w:hRule="exact" w:val="397"/>
        </w:trPr>
        <w:tc>
          <w:tcPr>
            <w:tcW w:w="2376" w:type="dxa"/>
            <w:hideMark/>
          </w:tcPr>
          <w:p w14:paraId="149035BD" w14:textId="77777777" w:rsidR="00F52C74" w:rsidRDefault="00F52C74" w:rsidP="00970720">
            <w:pPr>
              <w:pStyle w:val="KUJKtucny"/>
            </w:pPr>
            <w:r>
              <w:t>Číslo návrhu:</w:t>
            </w:r>
          </w:p>
        </w:tc>
        <w:tc>
          <w:tcPr>
            <w:tcW w:w="6804" w:type="dxa"/>
            <w:gridSpan w:val="3"/>
            <w:hideMark/>
          </w:tcPr>
          <w:p w14:paraId="7B6A5884" w14:textId="77777777" w:rsidR="00F52C74" w:rsidRDefault="00F52C74" w:rsidP="00970720">
            <w:pPr>
              <w:pStyle w:val="KUJKnormal"/>
            </w:pPr>
            <w:r>
              <w:t>355/ZK/23</w:t>
            </w:r>
          </w:p>
        </w:tc>
      </w:tr>
      <w:tr w:rsidR="00F52C74" w14:paraId="043F3D3D" w14:textId="77777777" w:rsidTr="009F04DD">
        <w:trPr>
          <w:trHeight w:val="397"/>
        </w:trPr>
        <w:tc>
          <w:tcPr>
            <w:tcW w:w="2376" w:type="dxa"/>
          </w:tcPr>
          <w:p w14:paraId="64B83523" w14:textId="77777777" w:rsidR="00F52C74" w:rsidRDefault="00F52C74" w:rsidP="00970720"/>
          <w:p w14:paraId="09DB6612" w14:textId="77777777" w:rsidR="00F52C74" w:rsidRDefault="00F52C74" w:rsidP="00970720">
            <w:pPr>
              <w:pStyle w:val="KUJKtucny"/>
            </w:pPr>
            <w:r>
              <w:t>Název bodu:</w:t>
            </w:r>
          </w:p>
        </w:tc>
        <w:tc>
          <w:tcPr>
            <w:tcW w:w="6804" w:type="dxa"/>
            <w:gridSpan w:val="3"/>
          </w:tcPr>
          <w:p w14:paraId="40E778A9" w14:textId="77777777" w:rsidR="00F52C74" w:rsidRDefault="00F52C74" w:rsidP="00970720"/>
          <w:p w14:paraId="0B0CC71C" w14:textId="77777777" w:rsidR="00F52C74" w:rsidRDefault="00F52C74" w:rsidP="00970720">
            <w:pPr>
              <w:pStyle w:val="KUJKtucny"/>
              <w:rPr>
                <w:sz w:val="22"/>
                <w:szCs w:val="22"/>
              </w:rPr>
            </w:pPr>
            <w:r>
              <w:rPr>
                <w:sz w:val="22"/>
                <w:szCs w:val="22"/>
              </w:rPr>
              <w:t>Rozvoj digitální technické mapy Jihočeského kraje</w:t>
            </w:r>
          </w:p>
        </w:tc>
      </w:tr>
    </w:tbl>
    <w:p w14:paraId="091D0C41" w14:textId="77777777" w:rsidR="00F52C74" w:rsidRDefault="00F52C74" w:rsidP="009F04DD">
      <w:pPr>
        <w:pStyle w:val="KUJKnormal"/>
        <w:rPr>
          <w:b/>
          <w:bCs/>
        </w:rPr>
      </w:pPr>
      <w:r>
        <w:rPr>
          <w:b/>
          <w:bCs/>
        </w:rPr>
        <w:pict w14:anchorId="1AE275F6">
          <v:rect id="_x0000_i1029" style="width:453.6pt;height:1.5pt" o:hralign="center" o:hrstd="t" o:hrnoshade="t" o:hr="t" fillcolor="black" stroked="f"/>
        </w:pict>
      </w:r>
    </w:p>
    <w:p w14:paraId="3A6BCAD8" w14:textId="77777777" w:rsidR="00F52C74" w:rsidRDefault="00F52C74" w:rsidP="009F04DD">
      <w:pPr>
        <w:pStyle w:val="KUJKnormal"/>
      </w:pPr>
    </w:p>
    <w:p w14:paraId="545180E8" w14:textId="77777777" w:rsidR="00F52C74" w:rsidRDefault="00F52C74" w:rsidP="009F04DD"/>
    <w:tbl>
      <w:tblPr>
        <w:tblW w:w="0" w:type="auto"/>
        <w:tblCellMar>
          <w:left w:w="70" w:type="dxa"/>
          <w:right w:w="70" w:type="dxa"/>
        </w:tblCellMar>
        <w:tblLook w:val="04A0" w:firstRow="1" w:lastRow="0" w:firstColumn="1" w:lastColumn="0" w:noHBand="0" w:noVBand="1"/>
      </w:tblPr>
      <w:tblGrid>
        <w:gridCol w:w="2350"/>
        <w:gridCol w:w="6862"/>
      </w:tblGrid>
      <w:tr w:rsidR="00F52C74" w14:paraId="5E6BE02E" w14:textId="77777777" w:rsidTr="002559B8">
        <w:trPr>
          <w:trHeight w:val="397"/>
        </w:trPr>
        <w:tc>
          <w:tcPr>
            <w:tcW w:w="2350" w:type="dxa"/>
            <w:hideMark/>
          </w:tcPr>
          <w:p w14:paraId="55CB2636" w14:textId="77777777" w:rsidR="00F52C74" w:rsidRDefault="00F52C74" w:rsidP="002559B8">
            <w:pPr>
              <w:pStyle w:val="KUJKtucny"/>
            </w:pPr>
            <w:r>
              <w:t>Předkladatel:</w:t>
            </w:r>
          </w:p>
        </w:tc>
        <w:tc>
          <w:tcPr>
            <w:tcW w:w="6862" w:type="dxa"/>
          </w:tcPr>
          <w:p w14:paraId="6D85CEF7" w14:textId="77777777" w:rsidR="00F52C74" w:rsidRDefault="00F52C74" w:rsidP="002559B8">
            <w:pPr>
              <w:pStyle w:val="KUJKnormal"/>
            </w:pPr>
            <w:r>
              <w:t>doc. Ing. Lucie Kozlová, Ph.D.</w:t>
            </w:r>
          </w:p>
          <w:p w14:paraId="4161C268" w14:textId="77777777" w:rsidR="00F52C74" w:rsidRDefault="00F52C74" w:rsidP="002559B8"/>
        </w:tc>
      </w:tr>
      <w:tr w:rsidR="00F52C74" w14:paraId="49A5E1E2" w14:textId="77777777" w:rsidTr="002559B8">
        <w:trPr>
          <w:trHeight w:val="397"/>
        </w:trPr>
        <w:tc>
          <w:tcPr>
            <w:tcW w:w="2350" w:type="dxa"/>
          </w:tcPr>
          <w:p w14:paraId="6B841ABA" w14:textId="77777777" w:rsidR="00F52C74" w:rsidRDefault="00F52C74" w:rsidP="002559B8">
            <w:pPr>
              <w:pStyle w:val="KUJKtucny"/>
            </w:pPr>
            <w:r>
              <w:t>Zpracoval:</w:t>
            </w:r>
          </w:p>
          <w:p w14:paraId="46023F7D" w14:textId="77777777" w:rsidR="00F52C74" w:rsidRDefault="00F52C74" w:rsidP="002559B8"/>
        </w:tc>
        <w:tc>
          <w:tcPr>
            <w:tcW w:w="6862" w:type="dxa"/>
            <w:hideMark/>
          </w:tcPr>
          <w:p w14:paraId="5F4A8A3B" w14:textId="77777777" w:rsidR="00F52C74" w:rsidRDefault="00F52C74" w:rsidP="002559B8">
            <w:pPr>
              <w:pStyle w:val="KUJKnormal"/>
            </w:pPr>
            <w:r>
              <w:t>OREG</w:t>
            </w:r>
          </w:p>
        </w:tc>
      </w:tr>
      <w:tr w:rsidR="00F52C74" w14:paraId="20FB01CD" w14:textId="77777777" w:rsidTr="002559B8">
        <w:trPr>
          <w:trHeight w:val="397"/>
        </w:trPr>
        <w:tc>
          <w:tcPr>
            <w:tcW w:w="2350" w:type="dxa"/>
          </w:tcPr>
          <w:p w14:paraId="7BD77CE1" w14:textId="77777777" w:rsidR="00F52C74" w:rsidRPr="009715F9" w:rsidRDefault="00F52C74" w:rsidP="002559B8">
            <w:pPr>
              <w:pStyle w:val="KUJKnormal"/>
              <w:rPr>
                <w:b/>
              </w:rPr>
            </w:pPr>
            <w:r w:rsidRPr="009715F9">
              <w:rPr>
                <w:b/>
              </w:rPr>
              <w:t>Vedoucí odboru:</w:t>
            </w:r>
          </w:p>
          <w:p w14:paraId="14DEC584" w14:textId="77777777" w:rsidR="00F52C74" w:rsidRDefault="00F52C74" w:rsidP="002559B8"/>
        </w:tc>
        <w:tc>
          <w:tcPr>
            <w:tcW w:w="6862" w:type="dxa"/>
            <w:hideMark/>
          </w:tcPr>
          <w:p w14:paraId="414C2382" w14:textId="77777777" w:rsidR="00F52C74" w:rsidRDefault="00F52C74" w:rsidP="002559B8">
            <w:pPr>
              <w:pStyle w:val="KUJKnormal"/>
            </w:pPr>
            <w:r>
              <w:t>Ing. arch. Petr Hornát</w:t>
            </w:r>
          </w:p>
        </w:tc>
      </w:tr>
    </w:tbl>
    <w:p w14:paraId="5880EB90" w14:textId="77777777" w:rsidR="00F52C74" w:rsidRDefault="00F52C74" w:rsidP="009F04DD">
      <w:pPr>
        <w:pStyle w:val="KUJKnormal"/>
      </w:pPr>
    </w:p>
    <w:p w14:paraId="64D9E833" w14:textId="77777777" w:rsidR="00F52C74" w:rsidRPr="0052161F" w:rsidRDefault="00F52C74" w:rsidP="009F04DD">
      <w:pPr>
        <w:pStyle w:val="KUJKtucny"/>
      </w:pPr>
      <w:r w:rsidRPr="0052161F">
        <w:t>NÁVRH USNESENÍ</w:t>
      </w:r>
    </w:p>
    <w:p w14:paraId="16ADD428" w14:textId="77777777" w:rsidR="00F52C74" w:rsidRDefault="00F52C74" w:rsidP="009F04DD">
      <w:pPr>
        <w:pStyle w:val="KUJKnormal"/>
        <w:rPr>
          <w:rFonts w:ascii="Calibri" w:hAnsi="Calibri" w:cs="Calibri"/>
          <w:sz w:val="12"/>
          <w:szCs w:val="12"/>
        </w:rPr>
      </w:pPr>
      <w:bookmarkStart w:id="0" w:name="US_ZaVeVeci"/>
      <w:bookmarkEnd w:id="0"/>
    </w:p>
    <w:p w14:paraId="25B0BE07" w14:textId="77777777" w:rsidR="00F52C74" w:rsidRPr="00841DFC" w:rsidRDefault="00F52C74" w:rsidP="009F04DD">
      <w:pPr>
        <w:pStyle w:val="KUJKPolozka"/>
      </w:pPr>
      <w:r w:rsidRPr="00841DFC">
        <w:t>Zastupitelstvo Jihočeského kraje</w:t>
      </w:r>
    </w:p>
    <w:p w14:paraId="0876CE90" w14:textId="77777777" w:rsidR="00F52C74" w:rsidRDefault="00F52C74" w:rsidP="001C2C54">
      <w:pPr>
        <w:pStyle w:val="KUJKdoplnek2"/>
        <w:ind w:left="357" w:hanging="357"/>
      </w:pPr>
      <w:r w:rsidRPr="00730306">
        <w:t>bere na vědomí</w:t>
      </w:r>
    </w:p>
    <w:p w14:paraId="50DF30BF" w14:textId="77777777" w:rsidR="00F52C74" w:rsidRPr="001C2C54" w:rsidRDefault="00F52C74" w:rsidP="001C2C54">
      <w:pPr>
        <w:pStyle w:val="KUJKnormal"/>
        <w:rPr>
          <w:rFonts w:ascii="Tahoma" w:eastAsia="Tahoma" w:hAnsi="Tahoma" w:cs="Tahoma"/>
          <w:sz w:val="19"/>
          <w:szCs w:val="19"/>
        </w:rPr>
      </w:pPr>
      <w:r w:rsidRPr="001C2C54">
        <w:rPr>
          <w:rFonts w:ascii="Tahoma" w:eastAsia="Tahoma" w:hAnsi="Tahoma" w:cs="Tahoma"/>
          <w:sz w:val="19"/>
          <w:szCs w:val="19"/>
        </w:rPr>
        <w:t xml:space="preserve">1. žádost odboru regionálního rozvoje, územního plánování a stavebního řádu, o poskytnutí prostředků z rozpočtu kraje v celkové výši 149 969 413 Kč na předfinancování způsobilých výdajů a financování nezpůsobilých výdajů projektu „Rozvoj digitální technické mapy Jihočeského kraje“ a podání žádosti </w:t>
      </w:r>
      <w:r w:rsidRPr="001C2C54">
        <w:rPr>
          <w:rFonts w:ascii="Tahoma" w:eastAsia="Tahoma" w:hAnsi="Tahoma" w:cs="Tahoma"/>
          <w:sz w:val="19"/>
          <w:szCs w:val="19"/>
        </w:rPr>
        <w:br/>
        <w:t>o podporu do Národního plánu obnovy, V. výzvy – Komponenta (Priorita) 1.3. Digitální vysokokapacitní sítě;</w:t>
      </w:r>
    </w:p>
    <w:p w14:paraId="1D5DDF56" w14:textId="77777777" w:rsidR="00F52C74" w:rsidRPr="001C2C54" w:rsidRDefault="00F52C74" w:rsidP="001C2C54">
      <w:pPr>
        <w:pStyle w:val="KUJKnormal"/>
        <w:rPr>
          <w:rFonts w:ascii="Tahoma" w:eastAsia="Tahoma" w:hAnsi="Tahoma" w:cs="Tahoma"/>
          <w:sz w:val="19"/>
          <w:szCs w:val="19"/>
        </w:rPr>
      </w:pPr>
      <w:r w:rsidRPr="001C2C54">
        <w:rPr>
          <w:rFonts w:ascii="Tahoma" w:eastAsia="Tahoma" w:hAnsi="Tahoma" w:cs="Tahoma"/>
          <w:sz w:val="19"/>
          <w:szCs w:val="19"/>
        </w:rPr>
        <w:t xml:space="preserve">2. další informace uvedené v důvodové zprávě návrhu č. </w:t>
      </w:r>
      <w:r>
        <w:rPr>
          <w:rFonts w:ascii="Tahoma" w:eastAsia="Tahoma" w:hAnsi="Tahoma" w:cs="Tahoma"/>
          <w:sz w:val="19"/>
          <w:szCs w:val="19"/>
        </w:rPr>
        <w:t>355</w:t>
      </w:r>
      <w:r w:rsidRPr="001C2C54">
        <w:rPr>
          <w:rFonts w:ascii="Tahoma" w:eastAsia="Tahoma" w:hAnsi="Tahoma" w:cs="Tahoma"/>
          <w:sz w:val="19"/>
          <w:szCs w:val="19"/>
        </w:rPr>
        <w:t>/</w:t>
      </w:r>
      <w:r>
        <w:rPr>
          <w:rFonts w:ascii="Tahoma" w:eastAsia="Tahoma" w:hAnsi="Tahoma" w:cs="Tahoma"/>
          <w:sz w:val="19"/>
          <w:szCs w:val="19"/>
        </w:rPr>
        <w:t>Z</w:t>
      </w:r>
      <w:r w:rsidRPr="001C2C54">
        <w:rPr>
          <w:rFonts w:ascii="Tahoma" w:eastAsia="Tahoma" w:hAnsi="Tahoma" w:cs="Tahoma"/>
          <w:sz w:val="19"/>
          <w:szCs w:val="19"/>
        </w:rPr>
        <w:t>K/23;</w:t>
      </w:r>
    </w:p>
    <w:p w14:paraId="354DB8D0" w14:textId="77777777" w:rsidR="00F52C74" w:rsidRPr="00E10FE7" w:rsidRDefault="00F52C74" w:rsidP="001C2C54">
      <w:pPr>
        <w:pStyle w:val="KUJKdoplnek2"/>
      </w:pPr>
      <w:r w:rsidRPr="00AF7BAE">
        <w:t>schvaluje</w:t>
      </w:r>
    </w:p>
    <w:p w14:paraId="01B7E3D9" w14:textId="77777777" w:rsidR="00F52C74" w:rsidRPr="001C2C54" w:rsidRDefault="00F52C74" w:rsidP="001C2C54">
      <w:pPr>
        <w:pStyle w:val="KUJKnormal"/>
        <w:rPr>
          <w:rFonts w:ascii="Tahoma" w:eastAsia="Tahoma" w:hAnsi="Tahoma" w:cs="Tahoma"/>
          <w:sz w:val="19"/>
          <w:szCs w:val="19"/>
        </w:rPr>
      </w:pPr>
      <w:r w:rsidRPr="001C2C54">
        <w:rPr>
          <w:rFonts w:ascii="Tahoma" w:eastAsia="Tahoma" w:hAnsi="Tahoma" w:cs="Tahoma"/>
          <w:sz w:val="19"/>
          <w:szCs w:val="19"/>
        </w:rPr>
        <w:t xml:space="preserve">1. realizaci projektu „Rozvoj digitální </w:t>
      </w:r>
      <w:r>
        <w:rPr>
          <w:rFonts w:ascii="Tahoma" w:eastAsia="Tahoma" w:hAnsi="Tahoma" w:cs="Tahoma"/>
          <w:sz w:val="19"/>
          <w:szCs w:val="19"/>
        </w:rPr>
        <w:t xml:space="preserve">technické </w:t>
      </w:r>
      <w:r w:rsidRPr="001C2C54">
        <w:rPr>
          <w:rFonts w:ascii="Tahoma" w:eastAsia="Tahoma" w:hAnsi="Tahoma" w:cs="Tahoma"/>
          <w:sz w:val="19"/>
          <w:szCs w:val="19"/>
        </w:rPr>
        <w:t>mapy Jihočeského kraje “ a podání žádosti o podporu do Národního plánu obnovy, V. výzvy – Komponenta (Priorita) 1.3. Digitální vysokokapacitní sítě s celkovými výdaji ve výši 149 969 413 Kč, z toho způsobilými výdaji projektu ve výši 108 408 154 Kč;</w:t>
      </w:r>
    </w:p>
    <w:p w14:paraId="06ACBEF9" w14:textId="77777777" w:rsidR="00F52C74" w:rsidRPr="001C2C54" w:rsidRDefault="00F52C74" w:rsidP="001C2C54">
      <w:pPr>
        <w:pStyle w:val="KUJKnormal"/>
        <w:rPr>
          <w:rFonts w:ascii="Tahoma" w:eastAsia="Tahoma" w:hAnsi="Tahoma" w:cs="Tahoma"/>
          <w:sz w:val="19"/>
          <w:szCs w:val="19"/>
        </w:rPr>
      </w:pPr>
      <w:r w:rsidRPr="001C2C54">
        <w:rPr>
          <w:rFonts w:ascii="Tahoma" w:eastAsia="Tahoma" w:hAnsi="Tahoma" w:cs="Tahoma"/>
          <w:sz w:val="19"/>
          <w:szCs w:val="19"/>
        </w:rPr>
        <w:t xml:space="preserve">2. předfinancování projektu „Rozvoj digitální technické mapy Jihočeského kraje“ z rozpočtu kraje ve výši </w:t>
      </w:r>
      <w:r w:rsidRPr="001C2C54">
        <w:rPr>
          <w:rFonts w:ascii="Tahoma" w:eastAsia="Tahoma" w:hAnsi="Tahoma" w:cs="Tahoma"/>
          <w:sz w:val="19"/>
          <w:szCs w:val="19"/>
        </w:rPr>
        <w:br/>
        <w:t>100 % z celkových způsobilých výdajů projektu, tj. 108 408 154 Kč;</w:t>
      </w:r>
    </w:p>
    <w:p w14:paraId="2C270059" w14:textId="77777777" w:rsidR="00F52C74" w:rsidRDefault="00F52C74" w:rsidP="001C2C54">
      <w:pPr>
        <w:pStyle w:val="KUJKnormal"/>
        <w:rPr>
          <w:rFonts w:ascii="Tahoma" w:eastAsia="Tahoma" w:hAnsi="Tahoma" w:cs="Tahoma"/>
          <w:sz w:val="19"/>
          <w:szCs w:val="19"/>
        </w:rPr>
      </w:pPr>
      <w:r w:rsidRPr="001C2C54">
        <w:rPr>
          <w:rFonts w:ascii="Tahoma" w:eastAsia="Tahoma" w:hAnsi="Tahoma" w:cs="Tahoma"/>
          <w:sz w:val="19"/>
          <w:szCs w:val="19"/>
        </w:rPr>
        <w:t xml:space="preserve">3. financování nezpůsobilých výdajů projektu „Rozvoj digitální technické mapy Jihočeského kraje“ z rozpočtu kraje ve výši 41 561 259 Kč, s čerpáním na základě formuláře evropského projektu dle přílohy č. 1 návrhu č. </w:t>
      </w:r>
      <w:r>
        <w:rPr>
          <w:rFonts w:ascii="Tahoma" w:eastAsia="Tahoma" w:hAnsi="Tahoma" w:cs="Tahoma"/>
          <w:sz w:val="19"/>
          <w:szCs w:val="19"/>
        </w:rPr>
        <w:t>355</w:t>
      </w:r>
      <w:r w:rsidRPr="001C2C54">
        <w:rPr>
          <w:rFonts w:ascii="Tahoma" w:eastAsia="Tahoma" w:hAnsi="Tahoma" w:cs="Tahoma"/>
          <w:sz w:val="19"/>
          <w:szCs w:val="19"/>
        </w:rPr>
        <w:t>/</w:t>
      </w:r>
      <w:r>
        <w:rPr>
          <w:rFonts w:ascii="Tahoma" w:eastAsia="Tahoma" w:hAnsi="Tahoma" w:cs="Tahoma"/>
          <w:sz w:val="19"/>
          <w:szCs w:val="19"/>
        </w:rPr>
        <w:t>Z</w:t>
      </w:r>
      <w:r w:rsidRPr="001C2C54">
        <w:rPr>
          <w:rFonts w:ascii="Tahoma" w:eastAsia="Tahoma" w:hAnsi="Tahoma" w:cs="Tahoma"/>
          <w:sz w:val="19"/>
          <w:szCs w:val="19"/>
        </w:rPr>
        <w:t>K/23;</w:t>
      </w:r>
    </w:p>
    <w:p w14:paraId="6F450F0A" w14:textId="77777777" w:rsidR="00F52C74" w:rsidRDefault="00F52C74" w:rsidP="00C546A5">
      <w:pPr>
        <w:pStyle w:val="KUJKdoplnek2"/>
      </w:pPr>
      <w:r w:rsidRPr="0021676C">
        <w:t>ukládá</w:t>
      </w:r>
    </w:p>
    <w:p w14:paraId="475EF6D8" w14:textId="77777777" w:rsidR="00F52C74" w:rsidRDefault="00F52C74" w:rsidP="004D0F06">
      <w:pPr>
        <w:pStyle w:val="KUJKnormal"/>
        <w:rPr>
          <w:rStyle w:val="eop"/>
          <w:rFonts w:cs="Arial"/>
          <w:color w:val="000000"/>
          <w:szCs w:val="20"/>
          <w:shd w:val="clear" w:color="auto" w:fill="FFFFFF"/>
        </w:rPr>
      </w:pPr>
      <w:r>
        <w:rPr>
          <w:rStyle w:val="normaltextrun"/>
          <w:rFonts w:cs="Arial"/>
          <w:color w:val="000000"/>
          <w:szCs w:val="20"/>
          <w:shd w:val="clear" w:color="auto" w:fill="FFFFFF"/>
        </w:rPr>
        <w:t>JUDr. Lukáši Glaserovi, řediteli krajského úřadu, zajistit realizaci usnesení.</w:t>
      </w:r>
      <w:r>
        <w:rPr>
          <w:rStyle w:val="eop"/>
          <w:rFonts w:cs="Arial"/>
          <w:color w:val="000000"/>
          <w:szCs w:val="20"/>
          <w:shd w:val="clear" w:color="auto" w:fill="FFFFFF"/>
        </w:rPr>
        <w:t> </w:t>
      </w:r>
    </w:p>
    <w:p w14:paraId="2130969C" w14:textId="77777777" w:rsidR="00F52C74" w:rsidRPr="004D0F06" w:rsidRDefault="00F52C74" w:rsidP="004D0F06">
      <w:pPr>
        <w:pStyle w:val="KUJKPolozka"/>
        <w:rPr>
          <w:rStyle w:val="eop"/>
          <w:rFonts w:cs="Arial"/>
          <w:szCs w:val="20"/>
        </w:rPr>
      </w:pPr>
      <w:r w:rsidRPr="004D0F06">
        <w:rPr>
          <w:rStyle w:val="normaltextrun"/>
          <w:rFonts w:cs="Arial"/>
          <w:b w:val="0"/>
          <w:bCs/>
          <w:szCs w:val="20"/>
        </w:rPr>
        <w:t>T: 30. 11. 2023</w:t>
      </w:r>
    </w:p>
    <w:p w14:paraId="600EA5DA" w14:textId="77777777" w:rsidR="00F52C74" w:rsidRPr="004D0F06" w:rsidRDefault="00F52C74" w:rsidP="004D0F06">
      <w:pPr>
        <w:pStyle w:val="KUJKnormal"/>
      </w:pPr>
    </w:p>
    <w:p w14:paraId="2CFD8B77" w14:textId="77777777" w:rsidR="00F52C74" w:rsidRDefault="00F52C74" w:rsidP="004D0F06">
      <w:pPr>
        <w:pStyle w:val="KUJKmezeraDZ"/>
      </w:pPr>
      <w:bookmarkStart w:id="1" w:name="US_DuvodZprava"/>
      <w:bookmarkEnd w:id="1"/>
    </w:p>
    <w:p w14:paraId="15DC23F5" w14:textId="77777777" w:rsidR="00F52C74" w:rsidRDefault="00F52C74" w:rsidP="004D0F06">
      <w:pPr>
        <w:pStyle w:val="KUJKnadpisDZ"/>
      </w:pPr>
      <w:r>
        <w:t>DŮVODOVÁ ZPRÁVA</w:t>
      </w:r>
    </w:p>
    <w:p w14:paraId="395C2BAC" w14:textId="77777777" w:rsidR="00F52C74" w:rsidRPr="009B7B0B" w:rsidRDefault="00F52C74" w:rsidP="004D0F06">
      <w:pPr>
        <w:pStyle w:val="KUJKmezeraDZ"/>
      </w:pPr>
    </w:p>
    <w:p w14:paraId="20042BC5" w14:textId="77777777" w:rsidR="00F52C74" w:rsidRPr="00106277" w:rsidRDefault="00F52C74" w:rsidP="00106277">
      <w:pPr>
        <w:spacing w:before="120" w:after="120"/>
        <w:jc w:val="both"/>
        <w:rPr>
          <w:rFonts w:ascii="Tahoma" w:eastAsia="Tahoma" w:hAnsi="Tahoma" w:cs="Tahoma"/>
          <w:sz w:val="19"/>
          <w:szCs w:val="19"/>
        </w:rPr>
      </w:pPr>
      <w:r w:rsidRPr="00106277">
        <w:rPr>
          <w:rFonts w:ascii="Tahoma" w:eastAsia="Tahoma" w:hAnsi="Tahoma" w:cs="Tahoma"/>
          <w:sz w:val="19"/>
          <w:szCs w:val="19"/>
        </w:rPr>
        <w:t>První vlna financování Digitálních technických map krajů probíhala s využitím prostředků z Operačního programu Podnikání a inovace pro konkurenceschopnost (OP PIK), pořízen byl informační systém a data pro prvotní naplnění Digitální technické mapy Jihočeského kraje (dále jen „DTM JČK“). Tento projekt byl prodloužen a konec realizační fáze projektu bude ke dni 30. 11. 2023. Na první vlnu financování DTM krajů z OP PIK plynule navazuje tzv. 2. vlna financování z Národního plánu obnovy (dále jen „NPO“), která je zaměřena na rozvoj DTM krajů, zejména na pomoc obcím při zaměření jejich dopravní a technické infrastruktury (DTI) a doplnění dalšího mapování základní prostorové situace (ZPS), tedy polohopisu. Základní princip odpovědnosti za obsah DTM kraje je nastaven zákonem tak, že za polohopis (ZPS) zodpovídá krajský úřad jako správce DTM kraje, za data dopravní a technické infrastruktury zodpovídá vždy jeho vlastník (příp. provozovatel nebo správce). Editorem ZPS je tedy ze zákona krajský úřad, editorem dat DTI je jejich vlastník (editorstvím může pověřit svého provozovatele nebo správce, příp. i zcela jiný subjekt či osobu).</w:t>
      </w:r>
    </w:p>
    <w:p w14:paraId="5B0FE694" w14:textId="77777777" w:rsidR="00F52C74" w:rsidRPr="00106277" w:rsidRDefault="00F52C74" w:rsidP="00106277">
      <w:pPr>
        <w:spacing w:before="120" w:after="120"/>
        <w:jc w:val="both"/>
        <w:rPr>
          <w:rFonts w:ascii="Tahoma" w:eastAsia="Tahoma" w:hAnsi="Tahoma" w:cs="Tahoma"/>
          <w:sz w:val="19"/>
          <w:szCs w:val="19"/>
        </w:rPr>
      </w:pPr>
      <w:r w:rsidRPr="00106277">
        <w:rPr>
          <w:rFonts w:ascii="Tahoma" w:eastAsia="Tahoma" w:hAnsi="Tahoma" w:cs="Tahoma"/>
          <w:sz w:val="19"/>
          <w:szCs w:val="19"/>
        </w:rPr>
        <w:t xml:space="preserve">V. Výzva z NPO, Komponenta 1.3 Digitální vysokokapacitní sítě, Specifický cíl: Zlepšení prostředí pro budování sítí elektronických komunikací (dále jen „Výzva DTM2“) byla v konečné podobě vyhlášena dne 21. 4. 2023 s termínem příjmu žádostí nejpozději do 30. 11. 2023. Finanční alokace činí celkem 1,4 mld. Kč (pro všechny kraje a další příjemce), přičemž dotace činí 100 % způsobilých výdajů, ovšem 21 % DPH je výdajem nezpůsobilým. Termín ukončení projektu je navázán na konec programového období do 31. 12. 2025. Požadovaným cílem pro tuto výzvu (za celou ČR), který musí být výzvou splněn, je zmapování 161 tis. ha ZPS a 55 tis. km sítí DTI. Jihočeský kraj je zařazen do pásma nezmapovaného území „Nad 40“, čímž je pro Jihočeský kraj v této výzvě vyčleněno pro základní rozsah plnění 98,85 mil. Kč, přičemž Jihočeský kraj musí za tuto částku pořídit data minimálně v rozsahu 15 tis. ha ZPS a 1,5 tis. km sítí DTI v majetku obcí. Kraj si může požádat ještě o tzv. dodatečný rozsah pro případné přidělení finanční alokace za kraje, které se výzvy neúčastní (cíl za ČR musí být dosažen). Příjemcem dotace je kraj, který bude mít do projektu smluvně zapojené obce, pro které bude mapování provádět. Dle podmínek návrhu výzvy musí být zapojeno min. 20 % obcí, což Jihočeský kraj bez problémů splní. Původně měla být součástí této výzvy i úprava informačního systému DTM krajů s cílem doplnění tzv. evidence připravovaných staveb, kterou přinesl zákon č. 202/2023 Sb. Vzhledem k nepřipravenosti architektury řešení této evidence není tato část v aktuálním znění výzvy obsažena. Velmi nepříjemným dopadem podmínek stanovených Výzvou DTM2 je skutečnost, že při mapování ZPS se nesmí žadatel dopustit dvojího financování v územích, kde probíhala konsolidace existujících dostupných dat v projektu OP PIK. Tato podmínka je velmi nepříjemná z pohledu jejího prokázání a je zde tudíž vysoké riziko označení některých pořízených dat za nezpůsobilé výdaje. Výzva ve svých pravidlech stanovila i jednotkové způsobilé výdaje za pořízení dat ZPS a DTI, které jsou poněkud nižší než ceny zjištěné ve studii proveditelnosti – např. ZPS dle jednotkového způsobilého výdaje 4 650 Kč/ha, zatímco indikativní cena činí 5 170 Kč/ha, DTI dle jednotkových způsobilých výdajů činí 19 400 Kč/km, zatímco dle indikativních cen činí 22 393 Kč/km. Z důvodu vyšších indikativních, než výzvou uvedených jednotkových způsobilých cen není možné mezi způsobilé výdaje zahrnout žádné další části projektu (kontrola pořízených dat, konzultace a poradenství aj.) </w:t>
      </w:r>
    </w:p>
    <w:p w14:paraId="0C0D9695" w14:textId="77777777" w:rsidR="00F52C74" w:rsidRPr="00106277" w:rsidRDefault="00F52C74" w:rsidP="00106277">
      <w:pPr>
        <w:spacing w:before="120" w:after="120"/>
        <w:jc w:val="both"/>
        <w:rPr>
          <w:rFonts w:ascii="Tahoma" w:eastAsia="Tahoma" w:hAnsi="Tahoma" w:cs="Tahoma"/>
          <w:sz w:val="19"/>
          <w:szCs w:val="19"/>
        </w:rPr>
      </w:pPr>
      <w:r w:rsidRPr="00106277">
        <w:rPr>
          <w:rFonts w:ascii="Tahoma" w:eastAsia="Tahoma" w:hAnsi="Tahoma" w:cs="Tahoma"/>
          <w:sz w:val="19"/>
          <w:szCs w:val="19"/>
        </w:rPr>
        <w:t>Zapojení obcí do projektu – klíč pro výběr obcí, kterým byla účast v projektu nabídnuta, byl postaven na úmyslu pomoci s mapováním sítí TI hlavně malým obcím. Prostřednictvím analýzy dat územně analytických podkladů a vlastním průzkumem byl zjištěn stav obcemi vlastněných sítí, jejich druhy, množství a dostupnost jejich digitální podoby (zaměření, orientační zákres). Z této analýzy byly vyhotoveny tzv. karty obcí, které specifikovaly předpokládané množství sítí k mapování v tomto projektu. Oslovené obce buď kartu obce potvrdily nebo případně aktualizovaly uvedené údaje. Osloveny tedy byly obce v pořadí od nejmenších (podle počtu obyvatel za rok 2022), některé obce účast odmítly, některé obce nereagovaly a výsledkem je výběr 186 obcí (velikost do 223 obyvatel) pro hlavní rozsah plnění (1,5 tis. km sítí TI), a dalších 38 obcí (velikost do 281 obyvatel) pro dodatečný rozsah plnění (500 km sítí TI). K účasti v projektu jsou vybráni i náhradníci v počtu 79 obcí (velikost do 425 obyvatel). Požadovaný parametr zapojení min. 20 % obcí je splněn, v Jihočeském kraji bylo zapojeno téměř 36 % obcí. Výčet zapojených obcí, který je uveden ve studii proveditelnosti (podrobně v příloze č. 1), vychází z předpokládaného rozsahu množství sítí v majetku obcí, rozhodující budou skutečně zmapované kilometry sítí. Byl-li předpoklad délky mapovaných sítí nižší než realita, potom bude zmapováno méně obcí, byl-li předpoklad nadhodnocený, bude zmapováno více obcí.</w:t>
      </w:r>
    </w:p>
    <w:p w14:paraId="00568B4E" w14:textId="77777777" w:rsidR="00F52C74" w:rsidRPr="00106277" w:rsidRDefault="00F52C74" w:rsidP="00106277">
      <w:pPr>
        <w:spacing w:before="120"/>
        <w:jc w:val="both"/>
        <w:rPr>
          <w:rFonts w:ascii="Tahoma" w:eastAsia="Tahoma" w:hAnsi="Tahoma" w:cs="Tahoma"/>
          <w:sz w:val="19"/>
          <w:szCs w:val="19"/>
        </w:rPr>
      </w:pPr>
      <w:r w:rsidRPr="00106277">
        <w:rPr>
          <w:rFonts w:ascii="Tahoma" w:eastAsia="Tahoma" w:hAnsi="Tahoma" w:cs="Tahoma"/>
          <w:sz w:val="19"/>
          <w:szCs w:val="19"/>
        </w:rPr>
        <w:t>Základní finanční parametry projektu vyplývající ze studie proveditelnosti:</w:t>
      </w:r>
    </w:p>
    <w:tbl>
      <w:tblPr>
        <w:tblpPr w:leftFromText="141" w:rightFromText="141" w:vertAnchor="text" w:horzAnchor="margin" w:tblpXSpec="center" w:tblpY="169"/>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6"/>
        <w:gridCol w:w="3159"/>
      </w:tblGrid>
      <w:tr w:rsidR="00F52C74" w:rsidRPr="00106277" w14:paraId="4DA7CD68" w14:textId="77777777" w:rsidTr="0074457C">
        <w:tc>
          <w:tcPr>
            <w:tcW w:w="6506" w:type="dxa"/>
            <w:tcBorders>
              <w:top w:val="single" w:sz="12" w:space="0" w:color="auto"/>
              <w:left w:val="single" w:sz="12" w:space="0" w:color="auto"/>
              <w:bottom w:val="single" w:sz="12" w:space="0" w:color="auto"/>
              <w:right w:val="single" w:sz="4" w:space="0" w:color="auto"/>
            </w:tcBorders>
            <w:hideMark/>
          </w:tcPr>
          <w:p w14:paraId="132AD328" w14:textId="77777777" w:rsidR="00F52C74" w:rsidRPr="00106277" w:rsidRDefault="00F52C74" w:rsidP="0074457C">
            <w:pPr>
              <w:jc w:val="both"/>
              <w:rPr>
                <w:rFonts w:ascii="Arial" w:eastAsia="Times New Roman" w:hAnsi="Arial" w:cs="Arial"/>
                <w:b/>
                <w:bCs/>
                <w:sz w:val="20"/>
                <w:szCs w:val="20"/>
              </w:rPr>
            </w:pPr>
            <w:r w:rsidRPr="00106277">
              <w:rPr>
                <w:rFonts w:ascii="Arial" w:eastAsia="Times New Roman" w:hAnsi="Arial" w:cs="Arial"/>
                <w:b/>
                <w:bCs/>
                <w:sz w:val="20"/>
                <w:szCs w:val="20"/>
              </w:rPr>
              <w:t>Popis:</w:t>
            </w:r>
          </w:p>
        </w:tc>
        <w:tc>
          <w:tcPr>
            <w:tcW w:w="3159" w:type="dxa"/>
            <w:tcBorders>
              <w:top w:val="single" w:sz="12" w:space="0" w:color="auto"/>
              <w:left w:val="single" w:sz="4" w:space="0" w:color="auto"/>
              <w:bottom w:val="single" w:sz="12" w:space="0" w:color="auto"/>
              <w:right w:val="single" w:sz="12" w:space="0" w:color="auto"/>
            </w:tcBorders>
            <w:hideMark/>
          </w:tcPr>
          <w:p w14:paraId="6CF35243" w14:textId="77777777" w:rsidR="00F52C74" w:rsidRPr="00106277" w:rsidRDefault="00F52C74" w:rsidP="0074457C">
            <w:pPr>
              <w:jc w:val="center"/>
              <w:rPr>
                <w:rFonts w:ascii="Arial" w:eastAsia="Times New Roman" w:hAnsi="Arial" w:cs="Arial"/>
                <w:b/>
                <w:bCs/>
                <w:sz w:val="20"/>
                <w:szCs w:val="20"/>
              </w:rPr>
            </w:pPr>
            <w:r w:rsidRPr="00106277">
              <w:rPr>
                <w:rFonts w:ascii="Arial" w:eastAsia="Times New Roman" w:hAnsi="Arial" w:cs="Arial"/>
                <w:b/>
                <w:bCs/>
                <w:sz w:val="20"/>
                <w:szCs w:val="20"/>
              </w:rPr>
              <w:t>navrhovaná výše (Kč)</w:t>
            </w:r>
          </w:p>
        </w:tc>
      </w:tr>
      <w:tr w:rsidR="00F52C74" w:rsidRPr="00106277" w14:paraId="5AC5275D" w14:textId="77777777" w:rsidTr="0074457C">
        <w:tc>
          <w:tcPr>
            <w:tcW w:w="6506" w:type="dxa"/>
            <w:tcBorders>
              <w:top w:val="single" w:sz="12" w:space="0" w:color="auto"/>
              <w:left w:val="single" w:sz="12" w:space="0" w:color="auto"/>
              <w:bottom w:val="single" w:sz="4" w:space="0" w:color="auto"/>
              <w:right w:val="single" w:sz="4" w:space="0" w:color="4472C4"/>
            </w:tcBorders>
            <w:vAlign w:val="bottom"/>
            <w:hideMark/>
          </w:tcPr>
          <w:p w14:paraId="397FDE95" w14:textId="77777777" w:rsidR="00F52C74" w:rsidRPr="00106277" w:rsidRDefault="00F52C74" w:rsidP="0074457C">
            <w:pPr>
              <w:jc w:val="both"/>
              <w:rPr>
                <w:rFonts w:ascii="Arial" w:eastAsia="Times New Roman" w:hAnsi="Arial" w:cs="Arial"/>
                <w:b/>
                <w:bCs/>
                <w:sz w:val="20"/>
                <w:szCs w:val="20"/>
              </w:rPr>
            </w:pPr>
            <w:r w:rsidRPr="00106277">
              <w:rPr>
                <w:rFonts w:ascii="Arial" w:eastAsia="Times New Roman" w:hAnsi="Arial" w:cs="Arial"/>
                <w:b/>
                <w:bCs/>
                <w:sz w:val="20"/>
                <w:szCs w:val="20"/>
              </w:rPr>
              <w:t>Celkové výdaje projektu</w:t>
            </w:r>
          </w:p>
        </w:tc>
        <w:tc>
          <w:tcPr>
            <w:tcW w:w="3159" w:type="dxa"/>
            <w:tcBorders>
              <w:top w:val="single" w:sz="12" w:space="0" w:color="auto"/>
              <w:left w:val="single" w:sz="4" w:space="0" w:color="4472C4"/>
              <w:bottom w:val="single" w:sz="4" w:space="0" w:color="auto"/>
              <w:right w:val="single" w:sz="12" w:space="0" w:color="auto"/>
            </w:tcBorders>
            <w:hideMark/>
          </w:tcPr>
          <w:p w14:paraId="798ABEC3" w14:textId="77777777" w:rsidR="00F52C74" w:rsidRPr="00106277" w:rsidRDefault="00F52C74" w:rsidP="0074457C">
            <w:pPr>
              <w:ind w:right="781"/>
              <w:jc w:val="right"/>
              <w:rPr>
                <w:rFonts w:ascii="Arial" w:eastAsia="Times New Roman" w:hAnsi="Arial" w:cs="Arial"/>
                <w:b/>
                <w:bCs/>
                <w:sz w:val="20"/>
                <w:szCs w:val="20"/>
              </w:rPr>
            </w:pPr>
            <w:r w:rsidRPr="00106277">
              <w:rPr>
                <w:rFonts w:ascii="Arial" w:eastAsia="Times New Roman" w:hAnsi="Arial" w:cs="Arial"/>
                <w:b/>
                <w:bCs/>
                <w:sz w:val="20"/>
                <w:szCs w:val="20"/>
              </w:rPr>
              <w:t>149 969 413</w:t>
            </w:r>
          </w:p>
        </w:tc>
      </w:tr>
      <w:tr w:rsidR="00F52C74" w:rsidRPr="00106277" w14:paraId="0B6C78A3" w14:textId="77777777" w:rsidTr="0074457C">
        <w:tc>
          <w:tcPr>
            <w:tcW w:w="6506" w:type="dxa"/>
            <w:tcBorders>
              <w:top w:val="single" w:sz="4" w:space="0" w:color="auto"/>
              <w:left w:val="single" w:sz="12" w:space="0" w:color="auto"/>
              <w:bottom w:val="single" w:sz="4" w:space="0" w:color="auto"/>
              <w:right w:val="single" w:sz="4" w:space="0" w:color="auto"/>
            </w:tcBorders>
            <w:hideMark/>
          </w:tcPr>
          <w:p w14:paraId="5884039C" w14:textId="77777777" w:rsidR="00F52C74" w:rsidRPr="00106277" w:rsidRDefault="00F52C74" w:rsidP="0074457C">
            <w:pPr>
              <w:jc w:val="both"/>
              <w:rPr>
                <w:rFonts w:ascii="Arial" w:eastAsia="Times New Roman" w:hAnsi="Arial" w:cs="Arial"/>
                <w:sz w:val="20"/>
                <w:szCs w:val="20"/>
              </w:rPr>
            </w:pPr>
            <w:r w:rsidRPr="00106277">
              <w:rPr>
                <w:rFonts w:ascii="Arial" w:eastAsia="Times New Roman" w:hAnsi="Arial" w:cs="Arial"/>
                <w:sz w:val="20"/>
                <w:szCs w:val="20"/>
              </w:rPr>
              <w:t>Celkové nezpůsobilé výdaje projektu</w:t>
            </w:r>
          </w:p>
        </w:tc>
        <w:tc>
          <w:tcPr>
            <w:tcW w:w="3159" w:type="dxa"/>
            <w:tcBorders>
              <w:top w:val="single" w:sz="4" w:space="0" w:color="auto"/>
              <w:left w:val="single" w:sz="4" w:space="0" w:color="auto"/>
              <w:bottom w:val="single" w:sz="4" w:space="0" w:color="auto"/>
              <w:right w:val="single" w:sz="12" w:space="0" w:color="auto"/>
            </w:tcBorders>
            <w:hideMark/>
          </w:tcPr>
          <w:p w14:paraId="5B8B55EE" w14:textId="77777777" w:rsidR="00F52C74" w:rsidRPr="00106277" w:rsidRDefault="00F52C74" w:rsidP="0074457C">
            <w:pPr>
              <w:ind w:right="781"/>
              <w:jc w:val="right"/>
              <w:rPr>
                <w:rFonts w:ascii="Arial" w:eastAsia="Times New Roman" w:hAnsi="Arial" w:cs="Arial"/>
                <w:sz w:val="20"/>
                <w:szCs w:val="20"/>
              </w:rPr>
            </w:pPr>
            <w:r w:rsidRPr="00106277">
              <w:rPr>
                <w:rFonts w:ascii="Arial" w:eastAsia="Times New Roman" w:hAnsi="Arial" w:cs="Arial"/>
                <w:sz w:val="20"/>
                <w:szCs w:val="20"/>
              </w:rPr>
              <w:t>41 561 259</w:t>
            </w:r>
          </w:p>
        </w:tc>
      </w:tr>
      <w:tr w:rsidR="00F52C74" w:rsidRPr="00106277" w14:paraId="2BCF326B" w14:textId="77777777" w:rsidTr="0074457C">
        <w:tc>
          <w:tcPr>
            <w:tcW w:w="6506" w:type="dxa"/>
            <w:tcBorders>
              <w:top w:val="single" w:sz="4" w:space="0" w:color="auto"/>
              <w:left w:val="single" w:sz="12" w:space="0" w:color="auto"/>
              <w:bottom w:val="single" w:sz="4" w:space="0" w:color="auto"/>
              <w:right w:val="single" w:sz="4" w:space="0" w:color="auto"/>
            </w:tcBorders>
            <w:hideMark/>
          </w:tcPr>
          <w:p w14:paraId="5B5CAB47" w14:textId="77777777" w:rsidR="00F52C74" w:rsidRPr="00106277" w:rsidRDefault="00F52C74" w:rsidP="0074457C">
            <w:pPr>
              <w:jc w:val="both"/>
              <w:rPr>
                <w:rFonts w:ascii="Arial" w:eastAsia="Times New Roman" w:hAnsi="Arial" w:cs="Arial"/>
                <w:sz w:val="20"/>
                <w:szCs w:val="20"/>
              </w:rPr>
            </w:pPr>
            <w:r w:rsidRPr="00106277">
              <w:rPr>
                <w:rFonts w:ascii="Arial" w:eastAsia="Times New Roman" w:hAnsi="Arial" w:cs="Arial"/>
                <w:sz w:val="20"/>
                <w:szCs w:val="20"/>
              </w:rPr>
              <w:t>Celkové způsobilé výdaje projektu</w:t>
            </w:r>
          </w:p>
        </w:tc>
        <w:tc>
          <w:tcPr>
            <w:tcW w:w="3159" w:type="dxa"/>
            <w:tcBorders>
              <w:top w:val="single" w:sz="4" w:space="0" w:color="auto"/>
              <w:left w:val="single" w:sz="4" w:space="0" w:color="auto"/>
              <w:bottom w:val="single" w:sz="4" w:space="0" w:color="auto"/>
              <w:right w:val="single" w:sz="12" w:space="0" w:color="auto"/>
            </w:tcBorders>
            <w:hideMark/>
          </w:tcPr>
          <w:p w14:paraId="0D23A720" w14:textId="77777777" w:rsidR="00F52C74" w:rsidRPr="00106277" w:rsidRDefault="00F52C74" w:rsidP="0074457C">
            <w:pPr>
              <w:ind w:right="781"/>
              <w:jc w:val="right"/>
              <w:rPr>
                <w:rFonts w:ascii="Arial" w:eastAsia="Times New Roman" w:hAnsi="Arial" w:cs="Arial"/>
                <w:sz w:val="20"/>
                <w:szCs w:val="20"/>
              </w:rPr>
            </w:pPr>
            <w:r w:rsidRPr="00106277">
              <w:rPr>
                <w:rFonts w:ascii="Arial" w:eastAsia="Times New Roman" w:hAnsi="Arial" w:cs="Arial"/>
                <w:sz w:val="20"/>
                <w:szCs w:val="20"/>
              </w:rPr>
              <w:t>108 408 154</w:t>
            </w:r>
          </w:p>
        </w:tc>
      </w:tr>
      <w:tr w:rsidR="00F52C74" w:rsidRPr="00106277" w14:paraId="63A2249D" w14:textId="77777777" w:rsidTr="0074457C">
        <w:tc>
          <w:tcPr>
            <w:tcW w:w="6506" w:type="dxa"/>
            <w:tcBorders>
              <w:top w:val="single" w:sz="12" w:space="0" w:color="auto"/>
              <w:left w:val="single" w:sz="12" w:space="0" w:color="auto"/>
              <w:bottom w:val="single" w:sz="4" w:space="0" w:color="auto"/>
              <w:right w:val="single" w:sz="4" w:space="0" w:color="auto"/>
            </w:tcBorders>
            <w:hideMark/>
          </w:tcPr>
          <w:p w14:paraId="46CE0AC3" w14:textId="77777777" w:rsidR="00F52C74" w:rsidRPr="00106277" w:rsidRDefault="00F52C74" w:rsidP="0074457C">
            <w:pPr>
              <w:jc w:val="both"/>
              <w:rPr>
                <w:rFonts w:ascii="Arial" w:eastAsia="Times New Roman" w:hAnsi="Arial" w:cs="Arial"/>
                <w:sz w:val="20"/>
                <w:szCs w:val="20"/>
              </w:rPr>
            </w:pPr>
            <w:r w:rsidRPr="00106277">
              <w:rPr>
                <w:rFonts w:ascii="Arial" w:eastAsia="Times New Roman" w:hAnsi="Arial" w:cs="Arial"/>
                <w:sz w:val="20"/>
                <w:szCs w:val="20"/>
              </w:rPr>
              <w:t>Požadované finanční prostředky od JČK celkem ve struktuře:</w:t>
            </w:r>
          </w:p>
        </w:tc>
        <w:tc>
          <w:tcPr>
            <w:tcW w:w="3159" w:type="dxa"/>
            <w:tcBorders>
              <w:top w:val="single" w:sz="12" w:space="0" w:color="auto"/>
              <w:left w:val="single" w:sz="4" w:space="0" w:color="auto"/>
              <w:bottom w:val="single" w:sz="4" w:space="0" w:color="auto"/>
              <w:right w:val="single" w:sz="12" w:space="0" w:color="auto"/>
            </w:tcBorders>
            <w:hideMark/>
          </w:tcPr>
          <w:p w14:paraId="697FB726" w14:textId="77777777" w:rsidR="00F52C74" w:rsidRPr="00106277" w:rsidRDefault="00F52C74" w:rsidP="0074457C">
            <w:pPr>
              <w:ind w:right="781"/>
              <w:jc w:val="right"/>
              <w:rPr>
                <w:rFonts w:ascii="Arial" w:eastAsia="Times New Roman" w:hAnsi="Arial" w:cs="Arial"/>
                <w:sz w:val="20"/>
                <w:szCs w:val="20"/>
              </w:rPr>
            </w:pPr>
            <w:r w:rsidRPr="00106277">
              <w:rPr>
                <w:rFonts w:ascii="Arial" w:eastAsia="Times New Roman" w:hAnsi="Arial" w:cs="Arial"/>
                <w:sz w:val="20"/>
                <w:szCs w:val="20"/>
              </w:rPr>
              <w:t>149 969 413</w:t>
            </w:r>
          </w:p>
        </w:tc>
      </w:tr>
      <w:tr w:rsidR="00F52C74" w:rsidRPr="00106277" w14:paraId="3AC495EE" w14:textId="77777777" w:rsidTr="0074457C">
        <w:tc>
          <w:tcPr>
            <w:tcW w:w="6506" w:type="dxa"/>
            <w:tcBorders>
              <w:top w:val="single" w:sz="4" w:space="0" w:color="auto"/>
              <w:left w:val="single" w:sz="12" w:space="0" w:color="auto"/>
              <w:bottom w:val="single" w:sz="4" w:space="0" w:color="auto"/>
              <w:right w:val="single" w:sz="4" w:space="0" w:color="auto"/>
            </w:tcBorders>
            <w:hideMark/>
          </w:tcPr>
          <w:p w14:paraId="5E6385E2" w14:textId="77777777" w:rsidR="00F52C74" w:rsidRPr="00106277" w:rsidRDefault="00F52C74" w:rsidP="0074457C">
            <w:pPr>
              <w:jc w:val="both"/>
              <w:rPr>
                <w:rFonts w:ascii="Arial" w:eastAsia="Times New Roman" w:hAnsi="Arial" w:cs="Arial"/>
                <w:sz w:val="20"/>
                <w:szCs w:val="20"/>
              </w:rPr>
            </w:pPr>
            <w:r w:rsidRPr="00106277">
              <w:rPr>
                <w:rFonts w:ascii="Arial" w:eastAsia="Times New Roman" w:hAnsi="Arial" w:cs="Arial"/>
                <w:sz w:val="20"/>
                <w:szCs w:val="20"/>
              </w:rPr>
              <w:t>Předfinancování způsobilých výdajů</w:t>
            </w:r>
          </w:p>
        </w:tc>
        <w:tc>
          <w:tcPr>
            <w:tcW w:w="3159" w:type="dxa"/>
            <w:tcBorders>
              <w:top w:val="single" w:sz="4" w:space="0" w:color="auto"/>
              <w:left w:val="single" w:sz="4" w:space="0" w:color="auto"/>
              <w:bottom w:val="single" w:sz="4" w:space="0" w:color="auto"/>
              <w:right w:val="single" w:sz="12" w:space="0" w:color="auto"/>
            </w:tcBorders>
            <w:hideMark/>
          </w:tcPr>
          <w:p w14:paraId="2B1409B1" w14:textId="77777777" w:rsidR="00F52C74" w:rsidRPr="00106277" w:rsidRDefault="00F52C74" w:rsidP="0074457C">
            <w:pPr>
              <w:ind w:right="781"/>
              <w:jc w:val="right"/>
              <w:rPr>
                <w:rFonts w:ascii="Arial" w:eastAsia="Times New Roman" w:hAnsi="Arial" w:cs="Arial"/>
                <w:sz w:val="20"/>
                <w:szCs w:val="20"/>
              </w:rPr>
            </w:pPr>
            <w:r w:rsidRPr="00106277">
              <w:rPr>
                <w:rFonts w:ascii="Arial" w:eastAsia="Times New Roman" w:hAnsi="Arial" w:cs="Arial"/>
                <w:sz w:val="20"/>
                <w:szCs w:val="20"/>
              </w:rPr>
              <w:t>108 408 154</w:t>
            </w:r>
          </w:p>
        </w:tc>
      </w:tr>
      <w:tr w:rsidR="00F52C74" w:rsidRPr="00106277" w14:paraId="4C30FC24" w14:textId="77777777" w:rsidTr="0074457C">
        <w:tc>
          <w:tcPr>
            <w:tcW w:w="6506" w:type="dxa"/>
            <w:tcBorders>
              <w:top w:val="single" w:sz="4" w:space="0" w:color="auto"/>
              <w:left w:val="single" w:sz="12" w:space="0" w:color="auto"/>
              <w:bottom w:val="single" w:sz="4" w:space="0" w:color="auto"/>
              <w:right w:val="single" w:sz="4" w:space="0" w:color="auto"/>
            </w:tcBorders>
            <w:hideMark/>
          </w:tcPr>
          <w:p w14:paraId="22B8A201" w14:textId="77777777" w:rsidR="00F52C74" w:rsidRPr="00106277" w:rsidRDefault="00F52C74" w:rsidP="0074457C">
            <w:pPr>
              <w:jc w:val="both"/>
              <w:rPr>
                <w:rFonts w:ascii="Arial" w:eastAsia="Times New Roman" w:hAnsi="Arial" w:cs="Arial"/>
                <w:sz w:val="20"/>
                <w:szCs w:val="20"/>
              </w:rPr>
            </w:pPr>
            <w:r w:rsidRPr="00106277">
              <w:rPr>
                <w:rFonts w:ascii="Arial" w:eastAsia="Times New Roman" w:hAnsi="Arial" w:cs="Arial"/>
                <w:sz w:val="20"/>
                <w:szCs w:val="20"/>
              </w:rPr>
              <w:t>Kofinancování způsobilých výdajů</w:t>
            </w:r>
          </w:p>
        </w:tc>
        <w:tc>
          <w:tcPr>
            <w:tcW w:w="3159" w:type="dxa"/>
            <w:tcBorders>
              <w:top w:val="single" w:sz="4" w:space="0" w:color="auto"/>
              <w:left w:val="single" w:sz="4" w:space="0" w:color="auto"/>
              <w:bottom w:val="single" w:sz="4" w:space="0" w:color="auto"/>
              <w:right w:val="single" w:sz="12" w:space="0" w:color="auto"/>
            </w:tcBorders>
            <w:hideMark/>
          </w:tcPr>
          <w:p w14:paraId="202BD256" w14:textId="77777777" w:rsidR="00F52C74" w:rsidRPr="00106277" w:rsidRDefault="00F52C74" w:rsidP="0074457C">
            <w:pPr>
              <w:ind w:right="781"/>
              <w:jc w:val="right"/>
              <w:rPr>
                <w:rFonts w:ascii="Arial" w:eastAsia="Times New Roman" w:hAnsi="Arial" w:cs="Arial"/>
                <w:sz w:val="20"/>
                <w:szCs w:val="20"/>
              </w:rPr>
            </w:pPr>
            <w:r w:rsidRPr="00106277">
              <w:rPr>
                <w:rFonts w:ascii="Arial" w:eastAsia="Times New Roman" w:hAnsi="Arial" w:cs="Arial"/>
                <w:sz w:val="20"/>
                <w:szCs w:val="20"/>
              </w:rPr>
              <w:t>0</w:t>
            </w:r>
          </w:p>
        </w:tc>
      </w:tr>
      <w:tr w:rsidR="00F52C74" w:rsidRPr="00106277" w14:paraId="11740969" w14:textId="77777777" w:rsidTr="0074457C">
        <w:tc>
          <w:tcPr>
            <w:tcW w:w="6506" w:type="dxa"/>
            <w:tcBorders>
              <w:top w:val="single" w:sz="4" w:space="0" w:color="auto"/>
              <w:left w:val="single" w:sz="12" w:space="0" w:color="auto"/>
              <w:bottom w:val="single" w:sz="4" w:space="0" w:color="auto"/>
              <w:right w:val="single" w:sz="4" w:space="0" w:color="auto"/>
            </w:tcBorders>
            <w:hideMark/>
          </w:tcPr>
          <w:p w14:paraId="0E45D530" w14:textId="77777777" w:rsidR="00F52C74" w:rsidRPr="00106277" w:rsidRDefault="00F52C74" w:rsidP="0074457C">
            <w:pPr>
              <w:jc w:val="both"/>
              <w:rPr>
                <w:rFonts w:ascii="Arial" w:eastAsia="Times New Roman" w:hAnsi="Arial" w:cs="Arial"/>
                <w:sz w:val="20"/>
                <w:szCs w:val="20"/>
              </w:rPr>
            </w:pPr>
            <w:r w:rsidRPr="00106277">
              <w:rPr>
                <w:rFonts w:ascii="Arial" w:eastAsia="Times New Roman" w:hAnsi="Arial" w:cs="Arial"/>
                <w:sz w:val="20"/>
                <w:szCs w:val="20"/>
              </w:rPr>
              <w:t>Financování nezpůsobilých výdajů</w:t>
            </w:r>
          </w:p>
        </w:tc>
        <w:tc>
          <w:tcPr>
            <w:tcW w:w="3159" w:type="dxa"/>
            <w:tcBorders>
              <w:top w:val="single" w:sz="4" w:space="0" w:color="auto"/>
              <w:left w:val="single" w:sz="4" w:space="0" w:color="auto"/>
              <w:bottom w:val="single" w:sz="4" w:space="0" w:color="auto"/>
              <w:right w:val="single" w:sz="12" w:space="0" w:color="auto"/>
            </w:tcBorders>
            <w:hideMark/>
          </w:tcPr>
          <w:p w14:paraId="28103954" w14:textId="77777777" w:rsidR="00F52C74" w:rsidRPr="00106277" w:rsidRDefault="00F52C74" w:rsidP="0074457C">
            <w:pPr>
              <w:ind w:right="781"/>
              <w:jc w:val="right"/>
              <w:rPr>
                <w:rFonts w:ascii="Arial" w:eastAsia="Times New Roman" w:hAnsi="Arial" w:cs="Arial"/>
                <w:sz w:val="20"/>
                <w:szCs w:val="20"/>
              </w:rPr>
            </w:pPr>
            <w:r w:rsidRPr="00106277">
              <w:rPr>
                <w:rFonts w:ascii="Arial" w:eastAsia="Times New Roman" w:hAnsi="Arial" w:cs="Arial"/>
                <w:sz w:val="20"/>
                <w:szCs w:val="20"/>
              </w:rPr>
              <w:t>41 561 259</w:t>
            </w:r>
          </w:p>
        </w:tc>
      </w:tr>
      <w:tr w:rsidR="00F52C74" w:rsidRPr="00106277" w14:paraId="2A7132BF" w14:textId="77777777" w:rsidTr="0074457C">
        <w:tc>
          <w:tcPr>
            <w:tcW w:w="6506" w:type="dxa"/>
            <w:tcBorders>
              <w:top w:val="single" w:sz="4" w:space="0" w:color="auto"/>
              <w:left w:val="single" w:sz="12" w:space="0" w:color="auto"/>
              <w:bottom w:val="single" w:sz="12" w:space="0" w:color="auto"/>
              <w:right w:val="single" w:sz="4" w:space="0" w:color="auto"/>
            </w:tcBorders>
            <w:hideMark/>
          </w:tcPr>
          <w:p w14:paraId="2B99B5F8" w14:textId="77777777" w:rsidR="00F52C74" w:rsidRPr="00106277" w:rsidRDefault="00F52C74" w:rsidP="0074457C">
            <w:pPr>
              <w:jc w:val="both"/>
              <w:rPr>
                <w:rFonts w:ascii="Arial" w:eastAsia="Times New Roman" w:hAnsi="Arial" w:cs="Arial"/>
                <w:b/>
                <w:bCs/>
                <w:sz w:val="20"/>
                <w:szCs w:val="20"/>
              </w:rPr>
            </w:pPr>
            <w:r w:rsidRPr="00106277">
              <w:rPr>
                <w:rFonts w:ascii="Arial" w:eastAsia="Times New Roman" w:hAnsi="Arial" w:cs="Arial"/>
                <w:b/>
                <w:bCs/>
                <w:sz w:val="20"/>
                <w:szCs w:val="20"/>
              </w:rPr>
              <w:t>Kofinancování a nezpůsobilé výdaje celkem</w:t>
            </w:r>
          </w:p>
        </w:tc>
        <w:tc>
          <w:tcPr>
            <w:tcW w:w="3159" w:type="dxa"/>
            <w:tcBorders>
              <w:top w:val="single" w:sz="4" w:space="0" w:color="auto"/>
              <w:left w:val="single" w:sz="4" w:space="0" w:color="auto"/>
              <w:bottom w:val="single" w:sz="12" w:space="0" w:color="auto"/>
              <w:right w:val="single" w:sz="12" w:space="0" w:color="auto"/>
            </w:tcBorders>
            <w:hideMark/>
          </w:tcPr>
          <w:p w14:paraId="42E6C71B" w14:textId="77777777" w:rsidR="00F52C74" w:rsidRPr="00106277" w:rsidRDefault="00F52C74" w:rsidP="0074457C">
            <w:pPr>
              <w:ind w:right="781"/>
              <w:jc w:val="right"/>
              <w:rPr>
                <w:rFonts w:ascii="Arial" w:eastAsia="Times New Roman" w:hAnsi="Arial" w:cs="Arial"/>
                <w:b/>
                <w:bCs/>
                <w:sz w:val="20"/>
                <w:szCs w:val="20"/>
              </w:rPr>
            </w:pPr>
            <w:r w:rsidRPr="00106277">
              <w:rPr>
                <w:rFonts w:ascii="Arial" w:eastAsia="Times New Roman" w:hAnsi="Arial" w:cs="Arial"/>
                <w:b/>
                <w:bCs/>
                <w:sz w:val="20"/>
                <w:szCs w:val="20"/>
              </w:rPr>
              <w:t>41 561 259</w:t>
            </w:r>
          </w:p>
        </w:tc>
      </w:tr>
    </w:tbl>
    <w:p w14:paraId="53B49E5B" w14:textId="77777777" w:rsidR="00F52C74" w:rsidRPr="00106277" w:rsidRDefault="00F52C74" w:rsidP="00106277">
      <w:pPr>
        <w:spacing w:before="120" w:after="120"/>
        <w:jc w:val="both"/>
        <w:rPr>
          <w:rFonts w:ascii="Tahoma" w:eastAsia="Tahoma" w:hAnsi="Tahoma" w:cs="Tahoma"/>
          <w:sz w:val="19"/>
          <w:szCs w:val="19"/>
        </w:rPr>
      </w:pPr>
      <w:r w:rsidRPr="00106277">
        <w:rPr>
          <w:rFonts w:ascii="Tahoma" w:eastAsia="Tahoma" w:hAnsi="Tahoma" w:cs="Tahoma"/>
          <w:sz w:val="19"/>
          <w:szCs w:val="19"/>
        </w:rPr>
        <w:t>Rozpočet projektu zahrnuje pořízení dat v rozsahu:</w:t>
      </w:r>
    </w:p>
    <w:p w14:paraId="532BE226" w14:textId="77777777" w:rsidR="00F52C74" w:rsidRPr="00106277" w:rsidRDefault="00F52C74" w:rsidP="00F52C74">
      <w:pPr>
        <w:pStyle w:val="Odstavecseseznamem"/>
        <w:numPr>
          <w:ilvl w:val="0"/>
          <w:numId w:val="12"/>
        </w:numPr>
        <w:spacing w:before="120" w:after="120"/>
        <w:jc w:val="both"/>
        <w:rPr>
          <w:rFonts w:ascii="Tahoma" w:eastAsia="Tahoma" w:hAnsi="Tahoma" w:cs="Tahoma"/>
          <w:sz w:val="19"/>
          <w:szCs w:val="19"/>
        </w:rPr>
      </w:pPr>
      <w:r w:rsidRPr="00106277">
        <w:rPr>
          <w:rFonts w:ascii="Tahoma" w:eastAsia="Tahoma" w:hAnsi="Tahoma" w:cs="Tahoma"/>
          <w:sz w:val="19"/>
          <w:szCs w:val="19"/>
        </w:rPr>
        <w:t xml:space="preserve">zmapování ZPS … 15 000 ha (pouze základní rozsah), </w:t>
      </w:r>
    </w:p>
    <w:p w14:paraId="558FA485" w14:textId="77777777" w:rsidR="00F52C74" w:rsidRPr="00106277" w:rsidRDefault="00F52C74" w:rsidP="00106277">
      <w:pPr>
        <w:pStyle w:val="Odstavecseseznamem"/>
        <w:spacing w:before="120" w:after="120"/>
        <w:jc w:val="both"/>
        <w:rPr>
          <w:rFonts w:ascii="Tahoma" w:eastAsia="Tahoma" w:hAnsi="Tahoma" w:cs="Tahoma"/>
          <w:sz w:val="19"/>
          <w:szCs w:val="19"/>
        </w:rPr>
      </w:pPr>
      <w:r w:rsidRPr="00106277">
        <w:rPr>
          <w:rFonts w:ascii="Tahoma" w:eastAsia="Tahoma" w:hAnsi="Tahoma" w:cs="Tahoma"/>
          <w:sz w:val="19"/>
          <w:szCs w:val="19"/>
        </w:rPr>
        <w:t>Pozn. V případě ZPS nebyl dodatečný rozsah vůbec zvažován (příliš vysoké ceny za mapování ZPS by znamenaly neúměrné navýšení finančního podílu kraje, navíc v uvedeném čase by zmapování většího množství ZPS bylo nereálné),</w:t>
      </w:r>
    </w:p>
    <w:p w14:paraId="02A75E8F" w14:textId="77777777" w:rsidR="00F52C74" w:rsidRPr="00106277" w:rsidRDefault="00F52C74" w:rsidP="00F52C74">
      <w:pPr>
        <w:pStyle w:val="Odstavecseseznamem"/>
        <w:numPr>
          <w:ilvl w:val="0"/>
          <w:numId w:val="12"/>
        </w:numPr>
        <w:spacing w:before="120" w:after="120"/>
        <w:jc w:val="both"/>
        <w:rPr>
          <w:rFonts w:ascii="Tahoma" w:eastAsia="Tahoma" w:hAnsi="Tahoma" w:cs="Tahoma"/>
          <w:sz w:val="19"/>
          <w:szCs w:val="19"/>
        </w:rPr>
      </w:pPr>
      <w:r w:rsidRPr="00106277">
        <w:rPr>
          <w:rFonts w:ascii="Tahoma" w:eastAsia="Tahoma" w:hAnsi="Tahoma" w:cs="Tahoma"/>
          <w:sz w:val="19"/>
          <w:szCs w:val="19"/>
        </w:rPr>
        <w:t>zmapování TI obcí … 2 000 km (základní rozsah 1 500 km, dodatečný rozsah 500 km).</w:t>
      </w:r>
    </w:p>
    <w:p w14:paraId="69E33810" w14:textId="77777777" w:rsidR="00F52C74" w:rsidRPr="00106277" w:rsidRDefault="00F52C74" w:rsidP="00106277">
      <w:pPr>
        <w:spacing w:before="120" w:after="120"/>
        <w:jc w:val="both"/>
        <w:rPr>
          <w:rFonts w:ascii="Tahoma" w:eastAsia="Tahoma" w:hAnsi="Tahoma" w:cs="Tahoma"/>
          <w:sz w:val="19"/>
          <w:szCs w:val="19"/>
        </w:rPr>
      </w:pPr>
      <w:r w:rsidRPr="00106277">
        <w:rPr>
          <w:rFonts w:ascii="Tahoma" w:eastAsia="Tahoma" w:hAnsi="Tahoma" w:cs="Tahoma"/>
          <w:sz w:val="19"/>
          <w:szCs w:val="19"/>
        </w:rPr>
        <w:t xml:space="preserve">Mapování ZPS bude v projektu probíhat na konkrétních předem určených lokalitách pro snížení rizika dvojího financování a tím neočekávaných nezpůsobilých výdajů. Mapování v lokalitách, kde byla v projektu OP PIK provedena konsolidace, bude probíhat pouze ojediněle z důvodu hrozící nezpůsobilosti těchto výdajů (dvojí financování). Z důvodu maximální využitelnosti mapového díla DTM JČK (vyjadřování se k existenci sítí) byla určena priorita mapování sítí technické infrastruktury, objekty dopravní infrastruktury (obvod komunikace a mostu, osy a ochranná pásma místních a účelových komunikací) budou odvozovány později po dokončení mapování ZPS, nejsou tudíž součástí tohoto projektu. V projektu bude možné provádět případně i jen konsolidaci existujících dat sítí TI (převedení do výměnného formátu JVF), ale jen v případě, kdy se bude jednat o data v potřebné geodetické přesnosti, potvrzené autorizovaným zeměměřickým inženýrem. Data v horší přesnosti, orientační zákresy budou podkladem pro provedení vyhledání trasy sítě, jejímu zaměření a vyhotovení dokumentace v JVF. </w:t>
      </w:r>
    </w:p>
    <w:p w14:paraId="4CEAACC8" w14:textId="77777777" w:rsidR="00F52C74" w:rsidRPr="00106277" w:rsidRDefault="00F52C74" w:rsidP="00106277">
      <w:pPr>
        <w:spacing w:before="120" w:after="120"/>
        <w:jc w:val="both"/>
        <w:rPr>
          <w:rFonts w:ascii="Tahoma" w:eastAsia="Tahoma" w:hAnsi="Tahoma" w:cs="Tahoma"/>
          <w:sz w:val="19"/>
          <w:szCs w:val="19"/>
        </w:rPr>
      </w:pPr>
      <w:r w:rsidRPr="00106277">
        <w:rPr>
          <w:rFonts w:ascii="Tahoma" w:eastAsia="Tahoma" w:hAnsi="Tahoma" w:cs="Tahoma"/>
          <w:sz w:val="19"/>
          <w:szCs w:val="19"/>
        </w:rPr>
        <w:t xml:space="preserve">Součástí rozpočtu jsou i nezpůsobilé výdaje v podobě nákladů na kontrolu správnosti pořízených dat (namátkové kontroly požadované kvality geodetické přesnosti, topologické čistoty dat a kontroly klasifikace mapovaných objektů), odborné konzultační a poradenské služby a částka pro případ nezpůsobilosti výdajů při mapování ZPS v konsolidovaných územích (riziko dvojího financování). </w:t>
      </w:r>
    </w:p>
    <w:p w14:paraId="61F365DF" w14:textId="77777777" w:rsidR="00F52C74" w:rsidRDefault="00F52C74" w:rsidP="00106277">
      <w:pPr>
        <w:pStyle w:val="KUJKnormal"/>
        <w:rPr>
          <w:rFonts w:ascii="Tahoma" w:eastAsia="Tahoma" w:hAnsi="Tahoma" w:cs="Tahoma"/>
          <w:sz w:val="19"/>
          <w:szCs w:val="19"/>
        </w:rPr>
      </w:pPr>
      <w:r w:rsidRPr="00106277">
        <w:rPr>
          <w:rFonts w:ascii="Tahoma" w:eastAsia="Tahoma" w:hAnsi="Tahoma" w:cs="Tahoma"/>
          <w:sz w:val="19"/>
          <w:szCs w:val="19"/>
        </w:rPr>
        <w:t>S obcemi zapojenými do projektu bude uzavřena smlouva o spolupráci, kde budou obce zavázány poskytnutím součinnosti dodavateli dat při mapování jejich sítí, dále budou obce zavázány k plnění zákonné povinnosti udržovat dále data aktuální a plnit svou editorskou povinnost vůči DTM JČK a smlouvou bude obcím zřízeno právo užívat pořízená data o jejich infrastruktuře.</w:t>
      </w:r>
    </w:p>
    <w:p w14:paraId="51980775" w14:textId="77777777" w:rsidR="00F52C74" w:rsidRDefault="00F52C74" w:rsidP="00106277">
      <w:pPr>
        <w:pStyle w:val="KUJKnormal"/>
        <w:rPr>
          <w:rFonts w:ascii="Tahoma" w:eastAsia="Tahoma" w:hAnsi="Tahoma" w:cs="Tahoma"/>
          <w:sz w:val="19"/>
          <w:szCs w:val="19"/>
        </w:rPr>
      </w:pPr>
    </w:p>
    <w:p w14:paraId="5062FF7A" w14:textId="77777777" w:rsidR="00F52C74" w:rsidRPr="002D5D5F" w:rsidRDefault="00F52C74" w:rsidP="00106277">
      <w:pPr>
        <w:pStyle w:val="KUJKnormal"/>
        <w:rPr>
          <w:rFonts w:ascii="Tahoma" w:eastAsia="Tahoma" w:hAnsi="Tahoma" w:cs="Tahoma"/>
          <w:sz w:val="19"/>
          <w:szCs w:val="19"/>
        </w:rPr>
      </w:pPr>
      <w:r w:rsidRPr="002D5D5F">
        <w:rPr>
          <w:rFonts w:ascii="Tahoma" w:eastAsia="Tahoma" w:hAnsi="Tahoma" w:cs="Tahoma"/>
          <w:sz w:val="19"/>
          <w:szCs w:val="19"/>
        </w:rPr>
        <w:t xml:space="preserve">Tento materiál projednala rada kraje na svém jednání 26. 10. 2023 a svým usnesením č. </w:t>
      </w:r>
      <w:r>
        <w:rPr>
          <w:rFonts w:ascii="Tahoma" w:eastAsia="Tahoma" w:hAnsi="Tahoma" w:cs="Tahoma"/>
          <w:sz w:val="19"/>
          <w:szCs w:val="19"/>
        </w:rPr>
        <w:t>1141/2023/RK-77</w:t>
      </w:r>
      <w:r w:rsidRPr="002D5D5F">
        <w:rPr>
          <w:rFonts w:ascii="Tahoma" w:eastAsia="Tahoma" w:hAnsi="Tahoma" w:cs="Tahoma"/>
          <w:sz w:val="19"/>
          <w:szCs w:val="19"/>
        </w:rPr>
        <w:t xml:space="preserve"> doporučila zastupitelstvu kraje realizaci projektu „Rozvoj digitální technické mapy Jihočeského kraje“ schválit.</w:t>
      </w:r>
    </w:p>
    <w:p w14:paraId="00EFBB59" w14:textId="77777777" w:rsidR="00F52C74" w:rsidRDefault="00F52C74" w:rsidP="009F04DD">
      <w:pPr>
        <w:pStyle w:val="KUJKnormal"/>
      </w:pPr>
    </w:p>
    <w:p w14:paraId="07F2F883" w14:textId="77777777" w:rsidR="00F52C74" w:rsidRDefault="00F52C74" w:rsidP="009F04DD">
      <w:pPr>
        <w:pStyle w:val="KUJKnormal"/>
      </w:pPr>
    </w:p>
    <w:p w14:paraId="0F346F65" w14:textId="77777777" w:rsidR="00F52C74" w:rsidRDefault="00F52C74" w:rsidP="009F04DD">
      <w:pPr>
        <w:pStyle w:val="KUJKnormal"/>
      </w:pPr>
      <w:r>
        <w:t>Finanční nároky a krytí:</w:t>
      </w:r>
    </w:p>
    <w:p w14:paraId="69A21E56" w14:textId="77777777" w:rsidR="00F52C74" w:rsidRDefault="00F52C74" w:rsidP="009F04DD">
      <w:pPr>
        <w:pStyle w:val="KUJKnormal"/>
      </w:pPr>
      <w:r w:rsidRPr="001C2C54">
        <w:rPr>
          <w:rFonts w:ascii="Tahoma" w:eastAsia="Tahoma" w:hAnsi="Tahoma" w:cs="Tahoma"/>
          <w:sz w:val="19"/>
          <w:szCs w:val="19"/>
        </w:rPr>
        <w:t>Prostředky jsou zahrnuty v návrhu rozpočtu na rok 2024 a SVR 2025-26 v rámci ORJ 2068.</w:t>
      </w:r>
    </w:p>
    <w:p w14:paraId="0B72CAFC" w14:textId="77777777" w:rsidR="00F52C74" w:rsidRDefault="00F52C74" w:rsidP="009F04DD">
      <w:pPr>
        <w:pStyle w:val="KUJKnormal"/>
      </w:pPr>
    </w:p>
    <w:p w14:paraId="4DE1D966" w14:textId="77777777" w:rsidR="00F52C74" w:rsidRDefault="00F52C74" w:rsidP="009F04DD">
      <w:pPr>
        <w:pStyle w:val="KUJKnormal"/>
      </w:pPr>
      <w:r>
        <w:t>Vyjádření správce rozpočtu:</w:t>
      </w:r>
    </w:p>
    <w:p w14:paraId="6C5DEC34" w14:textId="77777777" w:rsidR="00F52C74" w:rsidRDefault="00F52C74" w:rsidP="00047142">
      <w:pPr>
        <w:pStyle w:val="KUJKnormal"/>
      </w:pPr>
      <w:r>
        <w:t>Ing. Michaela Zárubová (OEKO):</w:t>
      </w:r>
      <w:r w:rsidRPr="007666AA">
        <w:t xml:space="preserve"> </w:t>
      </w:r>
      <w:r>
        <w:t xml:space="preserve"> Souhlasím</w:t>
      </w:r>
      <w:r w:rsidRPr="007666AA">
        <w:t xml:space="preserve"> - </w:t>
      </w:r>
      <w:r>
        <w:t xml:space="preserve"> </w:t>
      </w:r>
    </w:p>
    <w:p w14:paraId="6A3B7209" w14:textId="77777777" w:rsidR="00F52C74" w:rsidRDefault="00F52C74" w:rsidP="009F04DD">
      <w:pPr>
        <w:pStyle w:val="KUJKnormal"/>
      </w:pPr>
    </w:p>
    <w:p w14:paraId="0592B9E3" w14:textId="77777777" w:rsidR="00F52C74" w:rsidRDefault="00F52C74" w:rsidP="009F04DD">
      <w:pPr>
        <w:pStyle w:val="KUJKnormal"/>
      </w:pPr>
    </w:p>
    <w:p w14:paraId="68F1DB2E" w14:textId="77777777" w:rsidR="00F52C74" w:rsidRDefault="00F52C74" w:rsidP="009F04DD">
      <w:pPr>
        <w:pStyle w:val="KUJKnormal"/>
      </w:pPr>
      <w:r>
        <w:t>Návrh projednán (stanoviska):</w:t>
      </w:r>
    </w:p>
    <w:p w14:paraId="217269E0" w14:textId="77777777" w:rsidR="00F52C74" w:rsidRDefault="00F52C74" w:rsidP="009432CB">
      <w:pPr>
        <w:pStyle w:val="KUJKnormal"/>
      </w:pPr>
      <w:r>
        <w:t xml:space="preserve">Ing. František Beránek (OINF): Souhlasím – </w:t>
      </w:r>
    </w:p>
    <w:p w14:paraId="3D547B03" w14:textId="77777777" w:rsidR="00F52C74" w:rsidRPr="00A521E1" w:rsidRDefault="00F52C74" w:rsidP="00776684">
      <w:pPr>
        <w:pStyle w:val="KUJKnormal"/>
      </w:pPr>
      <w:r>
        <w:t>Mgr. Markéta Procházková (OPZU):</w:t>
      </w:r>
      <w:r w:rsidRPr="00A521E1">
        <w:t xml:space="preserve"> </w:t>
      </w:r>
      <w:r>
        <w:t xml:space="preserve">Souhlasím </w:t>
      </w:r>
      <w:r w:rsidRPr="00A521E1">
        <w:t xml:space="preserve">- </w:t>
      </w:r>
    </w:p>
    <w:p w14:paraId="6CFFE440" w14:textId="77777777" w:rsidR="00F52C74" w:rsidRPr="00AE15B4" w:rsidRDefault="00F52C74" w:rsidP="009432CB">
      <w:pPr>
        <w:pStyle w:val="KUJKnormal"/>
      </w:pPr>
    </w:p>
    <w:p w14:paraId="2FE45400" w14:textId="77777777" w:rsidR="00F52C74" w:rsidRDefault="00F52C74" w:rsidP="009F04DD">
      <w:pPr>
        <w:pStyle w:val="KUJKnormal"/>
      </w:pPr>
    </w:p>
    <w:p w14:paraId="65775B70" w14:textId="77777777" w:rsidR="00F52C74" w:rsidRDefault="00F52C74" w:rsidP="009F04DD">
      <w:pPr>
        <w:pStyle w:val="KUJKnormal"/>
      </w:pPr>
    </w:p>
    <w:p w14:paraId="2EFBD6EB" w14:textId="77777777" w:rsidR="00F52C74" w:rsidRDefault="00F52C74" w:rsidP="009F04DD">
      <w:pPr>
        <w:pStyle w:val="KUJKnormal"/>
      </w:pPr>
    </w:p>
    <w:p w14:paraId="0E70B92F" w14:textId="77777777" w:rsidR="00F52C74" w:rsidRPr="007939A8" w:rsidRDefault="00F52C74" w:rsidP="009F04DD">
      <w:pPr>
        <w:pStyle w:val="KUJKtucny"/>
      </w:pPr>
      <w:r w:rsidRPr="007939A8">
        <w:t>PŘÍLOHY:</w:t>
      </w:r>
    </w:p>
    <w:p w14:paraId="157D0250" w14:textId="77777777" w:rsidR="00F52C74" w:rsidRPr="001C2C54" w:rsidRDefault="00F52C74" w:rsidP="001C2C54">
      <w:pPr>
        <w:pStyle w:val="KUJKcislovany"/>
        <w:numPr>
          <w:ilvl w:val="0"/>
          <w:numId w:val="11"/>
        </w:numPr>
        <w:ind w:left="284" w:hanging="284"/>
      </w:pPr>
      <w:r w:rsidRPr="001C2C54">
        <w:t>Formulář evropského projektu (SM_115_ZK_Pr1_FormularEvropskehoProjektu_DTM2.xls)</w:t>
      </w:r>
    </w:p>
    <w:p w14:paraId="77CE806A" w14:textId="77777777" w:rsidR="00F52C74" w:rsidRPr="001C2C54" w:rsidRDefault="00F52C74" w:rsidP="001C2C54">
      <w:pPr>
        <w:pStyle w:val="KUJKcislovany"/>
        <w:numPr>
          <w:ilvl w:val="0"/>
          <w:numId w:val="11"/>
        </w:numPr>
        <w:ind w:left="284" w:hanging="284"/>
      </w:pPr>
      <w:r w:rsidRPr="001C2C54">
        <w:t xml:space="preserve">Studie proveditelnosti projektu Rozvoj digitální technické mapy Jihočeského kraje (SP_DTM2.docx, SP_DTM2_priloha1.xlsx, SP_DTM2_priloha2.xlsx) – </w:t>
      </w:r>
      <w:r w:rsidRPr="001C2C54">
        <w:rPr>
          <w:b/>
          <w:bCs/>
        </w:rPr>
        <w:t>příloha je z důvodu velikosti pouze v elektronické podobě</w:t>
      </w:r>
    </w:p>
    <w:p w14:paraId="48215C0B" w14:textId="77777777" w:rsidR="00F52C74" w:rsidRDefault="00F52C74" w:rsidP="009F04DD">
      <w:pPr>
        <w:pStyle w:val="KUJKnormal"/>
      </w:pPr>
    </w:p>
    <w:p w14:paraId="42D4DD73" w14:textId="77777777" w:rsidR="00F52C74" w:rsidRDefault="00F52C74" w:rsidP="009F04DD">
      <w:pPr>
        <w:pStyle w:val="KUJKnormal"/>
      </w:pPr>
    </w:p>
    <w:p w14:paraId="7B405B3E" w14:textId="77777777" w:rsidR="00F52C74" w:rsidRPr="007C1EE7" w:rsidRDefault="00F52C74" w:rsidP="009F04DD">
      <w:pPr>
        <w:pStyle w:val="KUJKtucny"/>
      </w:pPr>
      <w:r w:rsidRPr="007C1EE7">
        <w:t>Zodpovídá:</w:t>
      </w:r>
      <w:r>
        <w:tab/>
      </w:r>
      <w:r>
        <w:tab/>
      </w:r>
      <w:r w:rsidRPr="001C2C54">
        <w:t>Ing. arch. Petr Hornát – vedoucí OREG</w:t>
      </w:r>
    </w:p>
    <w:p w14:paraId="6EF94AE3" w14:textId="77777777" w:rsidR="00F52C74" w:rsidRDefault="00F52C74" w:rsidP="009F04DD">
      <w:pPr>
        <w:pStyle w:val="KUJKnormal"/>
      </w:pPr>
    </w:p>
    <w:p w14:paraId="6CBADFEC" w14:textId="77777777" w:rsidR="00F52C74" w:rsidRPr="001C2C54" w:rsidRDefault="00F52C74" w:rsidP="009F04DD">
      <w:pPr>
        <w:pStyle w:val="KUJKnormal"/>
      </w:pPr>
      <w:r>
        <w:t>Termín kontroly:</w:t>
      </w:r>
      <w:r>
        <w:tab/>
      </w:r>
      <w:r w:rsidRPr="001C2C54">
        <w:t>30. 11. 2023</w:t>
      </w:r>
    </w:p>
    <w:p w14:paraId="582D4B82" w14:textId="77777777" w:rsidR="00F52C74" w:rsidRDefault="00F52C74" w:rsidP="009F04DD">
      <w:pPr>
        <w:pStyle w:val="KUJKnormal"/>
      </w:pPr>
      <w:r w:rsidRPr="001C2C54">
        <w:t>Termín splnění:</w:t>
      </w:r>
      <w:r w:rsidRPr="001C2C54">
        <w:tab/>
      </w:r>
      <w:r w:rsidRPr="001C2C54">
        <w:tab/>
        <w:t>30. 11. 2023</w:t>
      </w:r>
    </w:p>
    <w:p w14:paraId="5CB68DEC" w14:textId="77777777" w:rsidR="00F52C74" w:rsidRDefault="00F52C74"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72FB" w14:textId="77777777" w:rsidR="00F52C74" w:rsidRDefault="00F52C74" w:rsidP="00F52C74">
    <w:r>
      <w:rPr>
        <w:noProof/>
      </w:rPr>
      <w:pict w14:anchorId="0FB00F9B">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787FEEF" w14:textId="77777777" w:rsidR="00F52C74" w:rsidRPr="005F485E" w:rsidRDefault="00F52C74" w:rsidP="00F52C74">
                <w:pPr>
                  <w:spacing w:after="60"/>
                  <w:rPr>
                    <w:rFonts w:ascii="Arial" w:hAnsi="Arial" w:cs="Arial"/>
                    <w:b/>
                    <w:sz w:val="22"/>
                  </w:rPr>
                </w:pPr>
                <w:r w:rsidRPr="005F485E">
                  <w:rPr>
                    <w:rFonts w:ascii="Arial" w:hAnsi="Arial" w:cs="Arial"/>
                    <w:b/>
                    <w:sz w:val="22"/>
                  </w:rPr>
                  <w:t>ZASTUPITELSTVO JIHOČESKÉHO KRAJE</w:t>
                </w:r>
              </w:p>
              <w:p w14:paraId="574BD790" w14:textId="77777777" w:rsidR="00F52C74" w:rsidRPr="005F485E" w:rsidRDefault="00F52C74" w:rsidP="00F52C74">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705355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61EECAFE" w14:textId="77777777" w:rsidR="00F52C74" w:rsidRDefault="00F52C74" w:rsidP="00F52C74">
    <w:r>
      <w:pict w14:anchorId="47F184FF">
        <v:rect id="_x0000_i1026" style="width:481.9pt;height:2pt" o:hralign="center" o:hrstd="t" o:hrnoshade="t" o:hr="t" fillcolor="black" stroked="f"/>
      </w:pict>
    </w:r>
  </w:p>
  <w:p w14:paraId="26643DC8" w14:textId="77777777" w:rsidR="00F52C74" w:rsidRPr="00F52C74" w:rsidRDefault="00F52C74" w:rsidP="00F52C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AD08E6"/>
    <w:multiLevelType w:val="hybridMultilevel"/>
    <w:tmpl w:val="2BBC13F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33062837">
    <w:abstractNumId w:val="1"/>
  </w:num>
  <w:num w:numId="2" w16cid:durableId="845360393">
    <w:abstractNumId w:val="2"/>
  </w:num>
  <w:num w:numId="3" w16cid:durableId="922639189">
    <w:abstractNumId w:val="10"/>
  </w:num>
  <w:num w:numId="4" w16cid:durableId="1391422221">
    <w:abstractNumId w:val="8"/>
  </w:num>
  <w:num w:numId="5" w16cid:durableId="47389104">
    <w:abstractNumId w:val="0"/>
  </w:num>
  <w:num w:numId="6" w16cid:durableId="485585313">
    <w:abstractNumId w:val="4"/>
  </w:num>
  <w:num w:numId="7" w16cid:durableId="1206600880">
    <w:abstractNumId w:val="7"/>
  </w:num>
  <w:num w:numId="8" w16cid:durableId="188683112">
    <w:abstractNumId w:val="5"/>
  </w:num>
  <w:num w:numId="9" w16cid:durableId="722678874">
    <w:abstractNumId w:val="6"/>
  </w:num>
  <w:num w:numId="10" w16cid:durableId="2045521690">
    <w:abstractNumId w:val="9"/>
  </w:num>
  <w:num w:numId="11" w16cid:durableId="19451900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0466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2C74"/>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 w:type="character" w:customStyle="1" w:styleId="normaltextrun">
    <w:name w:val="normaltextrun"/>
    <w:basedOn w:val="Standardnpsmoodstavce"/>
    <w:rsid w:val="00F52C74"/>
  </w:style>
  <w:style w:type="character" w:customStyle="1" w:styleId="eop">
    <w:name w:val="eop"/>
    <w:basedOn w:val="Standardnpsmoodstavce"/>
    <w:rsid w:val="00F52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1508</Words>
  <Characters>8901</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2023-11-10T11:18:00Z</dcterms:created>
  <dcterms:modified xsi:type="dcterms:W3CDTF">2023-11-10T11:18:00Z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6344770</vt:i4>
  </property>
  <property fmtid="{D5CDD505-2E9C-101B-9397-08002B2CF9AE}" pid="4" name="ID_Navrh">
    <vt:i4>6399206</vt:i4>
  </property>
  <property fmtid="{D5CDD505-2E9C-101B-9397-08002B2CF9AE}" pid="5" name="UlozitJako">
    <vt:lpwstr>C:\Users\mrazkova\AppData\Local\Temp\iU15389652\Zastupitelstvo\2023-11-09\Navrhy\355-ZK-23.</vt:lpwstr>
  </property>
  <property fmtid="{D5CDD505-2E9C-101B-9397-08002B2CF9AE}" pid="6" name="Zpracovat">
    <vt:bool>false</vt:bool>
  </property>
</Properties>
</file>