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83438" w14:paraId="0760260B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325DB3D5" w14:textId="77777777" w:rsidR="00283438" w:rsidRDefault="0028343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FC8C553" w14:textId="77777777" w:rsidR="00283438" w:rsidRDefault="00283438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6446DDE9" w14:textId="77777777" w:rsidR="00283438" w:rsidRDefault="0028343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DBC2EE8" w14:textId="77777777" w:rsidR="00283438" w:rsidRDefault="00283438" w:rsidP="00970720">
            <w:pPr>
              <w:pStyle w:val="KUJKnormal"/>
            </w:pPr>
          </w:p>
        </w:tc>
      </w:tr>
      <w:tr w:rsidR="00283438" w14:paraId="19FF6B82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0EA02A79" w14:textId="77777777" w:rsidR="00283438" w:rsidRDefault="0028343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18A1975" w14:textId="77777777" w:rsidR="00283438" w:rsidRDefault="00283438" w:rsidP="00970720">
            <w:pPr>
              <w:pStyle w:val="KUJKnormal"/>
            </w:pPr>
            <w:r>
              <w:t>337/ZK/23</w:t>
            </w:r>
          </w:p>
        </w:tc>
      </w:tr>
      <w:tr w:rsidR="00283438" w14:paraId="3F7B3026" w14:textId="77777777" w:rsidTr="00970720">
        <w:trPr>
          <w:trHeight w:val="397"/>
        </w:trPr>
        <w:tc>
          <w:tcPr>
            <w:tcW w:w="2376" w:type="dxa"/>
          </w:tcPr>
          <w:p w14:paraId="76CC1112" w14:textId="77777777" w:rsidR="00283438" w:rsidRDefault="00283438" w:rsidP="00970720"/>
          <w:p w14:paraId="0DB7DE3F" w14:textId="77777777" w:rsidR="00283438" w:rsidRDefault="0028343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D5D05B" w14:textId="77777777" w:rsidR="00283438" w:rsidRDefault="00283438" w:rsidP="00970720"/>
          <w:p w14:paraId="62A7191C" w14:textId="77777777" w:rsidR="00283438" w:rsidRDefault="0028343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„Komplexní vodohospodářská studie dílčích částí povodí v EVL a PP Horní Malše“ a jeho financování z rozpočtu Jihočeského kraje</w:t>
            </w:r>
          </w:p>
        </w:tc>
      </w:tr>
    </w:tbl>
    <w:p w14:paraId="73F2E7A3" w14:textId="77777777" w:rsidR="00283438" w:rsidRDefault="00283438" w:rsidP="00CA4DA6">
      <w:pPr>
        <w:pStyle w:val="KUJKnormal"/>
        <w:rPr>
          <w:b/>
          <w:bCs/>
        </w:rPr>
      </w:pPr>
      <w:r>
        <w:rPr>
          <w:b/>
          <w:bCs/>
        </w:rPr>
        <w:pict w14:anchorId="6497E5F4">
          <v:rect id="_x0000_i1029" style="width:453.6pt;height:1.5pt" o:hralign="center" o:hrstd="t" o:hrnoshade="t" o:hr="t" fillcolor="black" stroked="f"/>
        </w:pict>
      </w:r>
    </w:p>
    <w:p w14:paraId="48AD3D25" w14:textId="77777777" w:rsidR="00283438" w:rsidRDefault="00283438" w:rsidP="009E589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83438" w14:paraId="15E6A0F2" w14:textId="77777777" w:rsidTr="002559B8">
        <w:trPr>
          <w:trHeight w:val="397"/>
        </w:trPr>
        <w:tc>
          <w:tcPr>
            <w:tcW w:w="2350" w:type="dxa"/>
            <w:hideMark/>
          </w:tcPr>
          <w:p w14:paraId="390F81B1" w14:textId="77777777" w:rsidR="00283438" w:rsidRDefault="0028343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EF478F" w14:textId="77777777" w:rsidR="00283438" w:rsidRDefault="00283438" w:rsidP="002559B8">
            <w:pPr>
              <w:pStyle w:val="KUJKnormal"/>
            </w:pPr>
            <w:r>
              <w:t>Mgr. František Talíř</w:t>
            </w:r>
          </w:p>
          <w:p w14:paraId="5098EDC6" w14:textId="77777777" w:rsidR="00283438" w:rsidRDefault="00283438" w:rsidP="002559B8"/>
        </w:tc>
      </w:tr>
      <w:tr w:rsidR="00283438" w14:paraId="3ED5963B" w14:textId="77777777" w:rsidTr="002559B8">
        <w:trPr>
          <w:trHeight w:val="397"/>
        </w:trPr>
        <w:tc>
          <w:tcPr>
            <w:tcW w:w="2350" w:type="dxa"/>
          </w:tcPr>
          <w:p w14:paraId="4BB9197D" w14:textId="77777777" w:rsidR="00283438" w:rsidRDefault="00283438" w:rsidP="002559B8">
            <w:pPr>
              <w:pStyle w:val="KUJKtucny"/>
            </w:pPr>
            <w:r>
              <w:t>Zpracoval:</w:t>
            </w:r>
          </w:p>
          <w:p w14:paraId="1713A562" w14:textId="77777777" w:rsidR="00283438" w:rsidRDefault="00283438" w:rsidP="002559B8"/>
        </w:tc>
        <w:tc>
          <w:tcPr>
            <w:tcW w:w="6862" w:type="dxa"/>
            <w:hideMark/>
          </w:tcPr>
          <w:p w14:paraId="67BC5353" w14:textId="77777777" w:rsidR="00283438" w:rsidRDefault="00283438" w:rsidP="002559B8">
            <w:pPr>
              <w:pStyle w:val="KUJKnormal"/>
            </w:pPr>
            <w:r>
              <w:t>OZZL</w:t>
            </w:r>
          </w:p>
        </w:tc>
      </w:tr>
      <w:tr w:rsidR="00283438" w14:paraId="1A0DDE75" w14:textId="77777777" w:rsidTr="002559B8">
        <w:trPr>
          <w:trHeight w:val="397"/>
        </w:trPr>
        <w:tc>
          <w:tcPr>
            <w:tcW w:w="2350" w:type="dxa"/>
          </w:tcPr>
          <w:p w14:paraId="22F131AC" w14:textId="77777777" w:rsidR="00283438" w:rsidRPr="009715F9" w:rsidRDefault="0028343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A0B5DF7" w14:textId="77777777" w:rsidR="00283438" w:rsidRDefault="00283438" w:rsidP="002559B8"/>
        </w:tc>
        <w:tc>
          <w:tcPr>
            <w:tcW w:w="6862" w:type="dxa"/>
            <w:hideMark/>
          </w:tcPr>
          <w:p w14:paraId="41209556" w14:textId="77777777" w:rsidR="00283438" w:rsidRDefault="00283438" w:rsidP="002559B8">
            <w:pPr>
              <w:pStyle w:val="KUJKnormal"/>
            </w:pPr>
            <w:r>
              <w:t>Ing. Zdeněk Klimeš</w:t>
            </w:r>
          </w:p>
        </w:tc>
      </w:tr>
    </w:tbl>
    <w:p w14:paraId="211BFCA8" w14:textId="77777777" w:rsidR="00283438" w:rsidRDefault="00283438" w:rsidP="009E5894">
      <w:pPr>
        <w:pStyle w:val="KUJKnormal"/>
      </w:pPr>
    </w:p>
    <w:p w14:paraId="49B87DD1" w14:textId="77777777" w:rsidR="00283438" w:rsidRDefault="00283438" w:rsidP="009E5894">
      <w:pPr>
        <w:pStyle w:val="KUJKnormal"/>
      </w:pPr>
    </w:p>
    <w:p w14:paraId="45BF8B06" w14:textId="77777777" w:rsidR="00283438" w:rsidRPr="0052161F" w:rsidRDefault="00283438" w:rsidP="009E5894">
      <w:pPr>
        <w:pStyle w:val="KUJKtucny"/>
      </w:pPr>
      <w:r w:rsidRPr="0052161F">
        <w:t>NÁVRH USNESENÍ</w:t>
      </w:r>
    </w:p>
    <w:p w14:paraId="604545B0" w14:textId="77777777" w:rsidR="00283438" w:rsidRDefault="00283438" w:rsidP="009E589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C8F48FA" w14:textId="77777777" w:rsidR="00283438" w:rsidRPr="00841DFC" w:rsidRDefault="00283438" w:rsidP="009E5894">
      <w:pPr>
        <w:pStyle w:val="KUJKPolozka"/>
      </w:pPr>
      <w:r w:rsidRPr="00841DFC">
        <w:t>Zastupitelstvo Jihočeského kraje</w:t>
      </w:r>
    </w:p>
    <w:p w14:paraId="7FEF8911" w14:textId="77777777" w:rsidR="00283438" w:rsidRDefault="00283438" w:rsidP="00480CDB">
      <w:pPr>
        <w:pStyle w:val="KUJKdoplnek2"/>
        <w:ind w:left="357" w:hanging="357"/>
      </w:pPr>
      <w:r w:rsidRPr="00730306">
        <w:t>bere na vědomí</w:t>
      </w:r>
    </w:p>
    <w:p w14:paraId="236A40BF" w14:textId="77777777" w:rsidR="00283438" w:rsidRDefault="00283438" w:rsidP="00480CDB">
      <w:pPr>
        <w:pStyle w:val="KUJKnormal"/>
      </w:pPr>
      <w:r>
        <w:t>informaci o projektovém záměru pro podání žádosti do Národního plánu obnovy na projekt s názvem „Komplexní vodohospodářská studie dílčích částí povodí v EVL a PP Horní Malše“;</w:t>
      </w:r>
    </w:p>
    <w:p w14:paraId="3E42A4B2" w14:textId="77777777" w:rsidR="00283438" w:rsidRPr="00E10FE7" w:rsidRDefault="00283438" w:rsidP="00480CDB">
      <w:pPr>
        <w:pStyle w:val="KUJKdoplnek2"/>
      </w:pPr>
      <w:r w:rsidRPr="00AF7BAE">
        <w:t>schvaluje</w:t>
      </w:r>
    </w:p>
    <w:p w14:paraId="1DB51B2E" w14:textId="77777777" w:rsidR="00283438" w:rsidRPr="00480CDB" w:rsidRDefault="00283438" w:rsidP="00283438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480CDB">
        <w:rPr>
          <w:b w:val="0"/>
          <w:bCs/>
        </w:rPr>
        <w:t xml:space="preserve">realizaci a financování projektu Jihočeského kraje „Komplexní vodohospodářská studie dílčích částí povodí v EVL a PP Horní Malše“ a podání žádosti o podporu do programu Národní plán obnovy – Podpora obnovy přirozených funkcí krajiny podprogram 166 - Komplexní vodohospodářské studie (Posouzení potenciálu zadržování vody v krajině a návrh konkrétních opatření) (dále jen NPO) s celkovými výdaji </w:t>
      </w:r>
      <w:bookmarkStart w:id="1" w:name="_Hlk143519570"/>
      <w:r w:rsidRPr="00480CDB">
        <w:rPr>
          <w:b w:val="0"/>
          <w:bCs/>
        </w:rPr>
        <w:t xml:space="preserve">1 180 000 </w:t>
      </w:r>
      <w:bookmarkEnd w:id="1"/>
      <w:r w:rsidRPr="00480CDB">
        <w:rPr>
          <w:b w:val="0"/>
          <w:bCs/>
        </w:rPr>
        <w:t xml:space="preserve">Kč, z toho s celkovými způsobilými výdaji 980 000 Kč, </w:t>
      </w:r>
    </w:p>
    <w:p w14:paraId="47E0775F" w14:textId="77777777" w:rsidR="00283438" w:rsidRPr="00480CDB" w:rsidRDefault="00283438" w:rsidP="00283438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480CDB">
        <w:rPr>
          <w:b w:val="0"/>
          <w:bCs/>
        </w:rPr>
        <w:t xml:space="preserve">předfinancování projektu „Komplexní vodohospodářská studie dílčích částí povodí v EVL a PP Horní Malše“ Jihočeským krajem maximálně do výše 100 % z celkových způsobilých výdajů projektu, tj. 980 000 Kč s podmínkou přidělení dotace z NPO, s čerpáním na základě formuláře evropského projektu dle přílohy č. 1 návrhu č. </w:t>
      </w:r>
      <w:r>
        <w:rPr>
          <w:b w:val="0"/>
          <w:bCs/>
        </w:rPr>
        <w:t>33</w:t>
      </w:r>
      <w:r w:rsidRPr="00480CDB">
        <w:rPr>
          <w:b w:val="0"/>
          <w:bCs/>
        </w:rPr>
        <w:t>7/</w:t>
      </w:r>
      <w:r>
        <w:rPr>
          <w:b w:val="0"/>
          <w:bCs/>
        </w:rPr>
        <w:t>Z</w:t>
      </w:r>
      <w:r w:rsidRPr="00480CDB">
        <w:rPr>
          <w:b w:val="0"/>
          <w:bCs/>
        </w:rPr>
        <w:t>K/23,</w:t>
      </w:r>
    </w:p>
    <w:p w14:paraId="0950522E" w14:textId="77777777" w:rsidR="00283438" w:rsidRDefault="00283438" w:rsidP="00283438">
      <w:pPr>
        <w:pStyle w:val="KUJKnormal"/>
        <w:numPr>
          <w:ilvl w:val="0"/>
          <w:numId w:val="11"/>
        </w:numPr>
        <w:ind w:left="284" w:hanging="284"/>
      </w:pPr>
      <w:r w:rsidRPr="00480CDB">
        <w:rPr>
          <w:bCs/>
        </w:rPr>
        <w:t>financování nezpůsobilých výdajů projektu „Komplexní vodohospodářská studie dílčích částí povodí v EVL a PP Horní Malše“ Jihočeským krajem maximálně do výše 200 000 Kč vč. DPH s podmínkou</w:t>
      </w:r>
      <w:r>
        <w:t xml:space="preserve"> přidělení dotace z NPO, s čerpáním na základě Formuláře evropského projektu dle přílohy č. 1 návrhu č. 337/ZK/23;</w:t>
      </w:r>
    </w:p>
    <w:p w14:paraId="696D59F1" w14:textId="77777777" w:rsidR="00283438" w:rsidRDefault="00283438" w:rsidP="00C546A5">
      <w:pPr>
        <w:pStyle w:val="KUJKdoplnek2"/>
      </w:pPr>
      <w:r w:rsidRPr="0021676C">
        <w:t>ukládá</w:t>
      </w:r>
    </w:p>
    <w:p w14:paraId="23206B56" w14:textId="77777777" w:rsidR="00283438" w:rsidRDefault="00283438" w:rsidP="00480CDB">
      <w:pPr>
        <w:pStyle w:val="KUJKnormal"/>
      </w:pPr>
      <w:r>
        <w:t>JUDr. Lukáši Glaserovi, řediteli krajského úřadu, zabezpečit veškeré úkony potřebné k realizaci části II. usnesení.</w:t>
      </w:r>
    </w:p>
    <w:p w14:paraId="2DC29497" w14:textId="77777777" w:rsidR="00283438" w:rsidRDefault="00283438" w:rsidP="00480CDB">
      <w:pPr>
        <w:pStyle w:val="KUJKmezeraDZ"/>
      </w:pPr>
      <w:bookmarkStart w:id="2" w:name="US_DuvodZprava"/>
      <w:bookmarkEnd w:id="2"/>
    </w:p>
    <w:p w14:paraId="1CCB303C" w14:textId="77777777" w:rsidR="00283438" w:rsidRDefault="00283438" w:rsidP="00480CDB">
      <w:pPr>
        <w:pStyle w:val="KUJKnadpisDZ"/>
      </w:pPr>
      <w:r>
        <w:t>DŮVODOVÁ ZPRÁVA</w:t>
      </w:r>
    </w:p>
    <w:p w14:paraId="3A063D4C" w14:textId="77777777" w:rsidR="00283438" w:rsidRPr="009B7B0B" w:rsidRDefault="00283438" w:rsidP="00480CDB">
      <w:pPr>
        <w:pStyle w:val="KUJKmezeraDZ"/>
      </w:pPr>
    </w:p>
    <w:p w14:paraId="1C6A5BBC" w14:textId="77777777" w:rsidR="00283438" w:rsidRDefault="00283438" w:rsidP="00805D15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Východiska a stručný popis projektu</w:t>
      </w:r>
    </w:p>
    <w:p w14:paraId="374E0DF2" w14:textId="77777777" w:rsidR="00283438" w:rsidRDefault="00283438" w:rsidP="00E208F9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/>
          <w:sz w:val="20"/>
          <w:szCs w:val="28"/>
        </w:rPr>
        <w:t>Projekt je připraven v souladu se směrnicí Rady Jihočeského kraje SM/115/RK ze dne 1. 12. 2022 a </w:t>
      </w:r>
      <w:r>
        <w:rPr>
          <w:rFonts w:ascii="Arial" w:eastAsia="Times New Roman" w:hAnsi="Arial" w:cs="Arial"/>
          <w:sz w:val="20"/>
          <w:szCs w:val="20"/>
          <w:lang w:eastAsia="cs-CZ"/>
        </w:rPr>
        <w:t>navazuje na koncepční materiály Jihočeského kraje (zejména na Koncepci ochrany přírody a krajiny Jihočeského kraje a Územní studii krajiny Jihočeského kraje) a bude podkladem pro naplnění cílů Záchranného programu perlorodky říční (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Margaritifera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margaritifera</w:t>
      </w:r>
      <w:r>
        <w:rPr>
          <w:rFonts w:ascii="Arial" w:eastAsia="Times New Roman" w:hAnsi="Arial" w:cs="Arial"/>
          <w:sz w:val="20"/>
          <w:szCs w:val="20"/>
          <w:lang w:eastAsia="cs-CZ"/>
        </w:rPr>
        <w:t>) v České republice</w:t>
      </w:r>
    </w:p>
    <w:p w14:paraId="4879BDCD" w14:textId="77777777" w:rsidR="00283438" w:rsidRDefault="00283438" w:rsidP="00E208F9">
      <w:pPr>
        <w:spacing w:before="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Cílem projektu „Komplexní vodohospodářská studie dílčích částí povodí v EVL a PP Horní Malše“ (dále jen studie) </w:t>
      </w:r>
      <w:r>
        <w:rPr>
          <w:rFonts w:ascii="Arial" w:hAnsi="Arial" w:cs="Arial"/>
          <w:iCs/>
          <w:sz w:val="20"/>
          <w:szCs w:val="20"/>
        </w:rPr>
        <w:t>je analýza třech dílčích pravobřežních sub-povodí v povodí řeky Malše a části spodního toku Kabelského potoka a zejména návrh souboru opatření, jejímž cílem je revitalizace a renaturace zájmového území. Z pohledu ochrany přírody se jedná o území celorepublikového významu, s výskytem kriticky ohroženého druhu perlorodky říční (</w:t>
      </w:r>
      <w:r>
        <w:rPr>
          <w:rFonts w:ascii="Arial" w:hAnsi="Arial" w:cs="Arial"/>
          <w:i/>
          <w:iCs/>
          <w:sz w:val="20"/>
          <w:szCs w:val="20"/>
        </w:rPr>
        <w:t>Margaritifera margaritifera</w:t>
      </w:r>
      <w:r>
        <w:rPr>
          <w:rFonts w:ascii="Arial" w:hAnsi="Arial" w:cs="Arial"/>
          <w:iCs/>
          <w:sz w:val="20"/>
          <w:szCs w:val="20"/>
        </w:rPr>
        <w:t>).</w:t>
      </w:r>
    </w:p>
    <w:p w14:paraId="017346DB" w14:textId="77777777" w:rsidR="00283438" w:rsidRDefault="00283438" w:rsidP="00E208F9">
      <w:pPr>
        <w:spacing w:before="60"/>
        <w:rPr>
          <w:rFonts w:ascii="Arial" w:hAnsi="Arial" w:cs="Arial"/>
          <w:iCs/>
          <w:sz w:val="20"/>
          <w:szCs w:val="20"/>
        </w:rPr>
      </w:pPr>
    </w:p>
    <w:p w14:paraId="3E71E9D2" w14:textId="77777777" w:rsidR="00283438" w:rsidRDefault="00283438" w:rsidP="00E208F9">
      <w:pPr>
        <w:spacing w:before="6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Navrhovaná opatření by měla zejména směřovat:</w:t>
      </w:r>
    </w:p>
    <w:p w14:paraId="3323E1DA" w14:textId="77777777" w:rsidR="00283438" w:rsidRDefault="00283438" w:rsidP="00283438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k asanaci a obnově erozně narušených částí dílčích sub-povodí, </w:t>
      </w:r>
    </w:p>
    <w:p w14:paraId="029C2EDB" w14:textId="77777777" w:rsidR="00283438" w:rsidRDefault="00283438" w:rsidP="00283438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revitalizaci a renaturaci biotopů a stanovišť v zájmových sub-povodí,</w:t>
      </w:r>
    </w:p>
    <w:p w14:paraId="3CBE460D" w14:textId="77777777" w:rsidR="00283438" w:rsidRDefault="00283438" w:rsidP="00283438">
      <w:pPr>
        <w:pStyle w:val="Odstavecseseznamem"/>
        <w:numPr>
          <w:ilvl w:val="0"/>
          <w:numId w:val="12"/>
        </w:numPr>
        <w:spacing w:after="120" w:line="276" w:lineRule="auto"/>
        <w:ind w:left="709" w:hanging="302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zlepšení stavu vodního režimu v dílčích sub-povodích bezprostředně ovlivňující perzistenci perlorodky říční a dalších zájmových organismů.</w:t>
      </w:r>
    </w:p>
    <w:p w14:paraId="6A9226EE" w14:textId="77777777" w:rsidR="00283438" w:rsidRDefault="00283438" w:rsidP="00E208F9">
      <w:pPr>
        <w:spacing w:before="60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Vymezení zájmové oblasti a její problémy:</w:t>
      </w:r>
    </w:p>
    <w:p w14:paraId="03EC70E0" w14:textId="77777777" w:rsidR="00283438" w:rsidRDefault="00283438" w:rsidP="00E208F9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Zájmové území o celkové rozloze cca 469,2 ha lze charakterizovat jako otevřenou harmonickou příhraniční krajinu v návaznosti na údolí řeky Malše. Jedná se o soubor rozsáhlých lesních celků a zalesněných vrcholů s významnými nelesními formacemi (louky, pastviny a prameniště). Komplexní vodohospodářská studie bude řešit tři dílčí části (sub-povodí):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14:paraId="20B2F0E2" w14:textId="77777777" w:rsidR="00283438" w:rsidRDefault="00283438" w:rsidP="00E208F9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část 1.</w:t>
      </w:r>
      <w:r>
        <w:rPr>
          <w:rFonts w:ascii="Arial" w:hAnsi="Arial" w:cs="Arial"/>
          <w:sz w:val="20"/>
          <w:szCs w:val="20"/>
        </w:rPr>
        <w:t xml:space="preserve"> – Malé sub-povodí tvořené souborem menších bezejmenných toků (10246540, 10241219, 10278845 a 10253031) v lokalitě Dolní Přibrání a spodní nelesní část toku Kabelského potoka. Zejména nátok Kabelského potoka do Malše je silně erodován a zahlouben a je zde nutná asanace a revitalizace. Střední části toků v lokalitě Dolní Přibrání je významně ovlivněna pastvou krav, které destruují okolí drobných toků a vývěry dřívějších meliorací při napájení dobytka a způsobují odtok drobných sedimentů a erozní splach do Malše. Dalším kritickým místem je silně zerodovaná horní část toků, kde došlo k významnému zahloubení dříve drobných přítoků s významným erozním splachem.</w:t>
      </w:r>
    </w:p>
    <w:p w14:paraId="0BCFC7BA" w14:textId="77777777" w:rsidR="00283438" w:rsidRDefault="00283438" w:rsidP="00E208F9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část 2.</w:t>
      </w:r>
      <w:r>
        <w:rPr>
          <w:rFonts w:ascii="Arial" w:hAnsi="Arial" w:cs="Arial"/>
          <w:sz w:val="20"/>
          <w:szCs w:val="20"/>
        </w:rPr>
        <w:t xml:space="preserve"> – Malé sub-povodí v okolí bezejmenného toku (IDVT 10262952) tzv. Cetvinský potok. Dolní část nátoku do Malše je v současnosti stabilní a došlo k jeho zazemnění a stabilizaci území. Jako problematická se jeví střední a horní (lesní) část toku. Střední část je napřímena a opevněna polo-vegetačními dlaždicemi, nebo kamennou dlažbou (nutná asanace a revitalizace). Horní část sub-povodí u Janovy Vsi je silně erodovaná a výrazně zahloubená včetně všech přítoků a opět dochází ke vnosu jemných sedimentů a erozního splachu dolů po proudu do řeky Malše.</w:t>
      </w:r>
    </w:p>
    <w:p w14:paraId="3D2DD1D5" w14:textId="77777777" w:rsidR="00283438" w:rsidRDefault="00283438" w:rsidP="00E208F9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část 3.</w:t>
      </w:r>
      <w:r>
        <w:rPr>
          <w:rFonts w:ascii="Arial" w:hAnsi="Arial" w:cs="Arial"/>
          <w:sz w:val="20"/>
          <w:szCs w:val="20"/>
        </w:rPr>
        <w:t xml:space="preserve"> – Malé sub-povodí v okolí bezejmenného toku (IDVT 10239374) tzv. Pod Horní Tichou. Dolní část nátoku do Malše je opevněna (nutná asanace a revitalizace). Střední část je intenzivně obhospodařovaná a zejména pastviny jsou pod silným erozním tlakem pasoucích se krav a vykazují významný erozní splach z narušených a rozdupaných napajedel a destruovaných vývěrů meliorací, které podmáčejí pastviny a dochází k transportu erozního splachu.</w:t>
      </w:r>
    </w:p>
    <w:p w14:paraId="21D7B91D" w14:textId="77777777" w:rsidR="00283438" w:rsidRDefault="00283438" w:rsidP="00E208F9">
      <w:pPr>
        <w:spacing w:before="120"/>
        <w:jc w:val="both"/>
        <w:rPr>
          <w:rFonts w:ascii="Arial" w:eastAsia="Times New Roman" w:hAnsi="Arial"/>
          <w:sz w:val="20"/>
          <w:szCs w:val="28"/>
          <w:u w:val="single"/>
        </w:rPr>
      </w:pPr>
      <w:r>
        <w:rPr>
          <w:rFonts w:ascii="Arial" w:eastAsia="Times New Roman" w:hAnsi="Arial"/>
          <w:sz w:val="20"/>
          <w:szCs w:val="28"/>
          <w:u w:val="single"/>
        </w:rPr>
        <w:t>Cílový stav, časový rámec projektu</w:t>
      </w:r>
    </w:p>
    <w:p w14:paraId="6BE5541E" w14:textId="77777777" w:rsidR="00283438" w:rsidRDefault="00283438" w:rsidP="00E208F9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Výstupy studie budou sloužit jako nezbytný podklad pro podání žádostí na realizaci navrhovaných opatření do dalších projektů (OPŽP, program LIFE).</w:t>
      </w:r>
    </w:p>
    <w:p w14:paraId="57D8E0C8" w14:textId="77777777" w:rsidR="00283438" w:rsidRDefault="00283438" w:rsidP="00E208F9">
      <w:pPr>
        <w:spacing w:before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</w:rPr>
        <w:t>Obnova co možná nejpřirozenějšího charakteru toků v jednotlivých dílčích sub-povodích by byla významným adaptačním opatřením, které bude tlumit negativní dopady extrémních výkyvů počasí. Realizací celé škály protierozních opatření, jako jsou: přehrádky, zpevňování břehů, asanace regulovaných koryt do přirozeně meandrujících toků apod. by mělo mít významný dopad na revitalizaci a renaturaci zájmového území. Ukazuje se, že některé obecné přístupy mají významně pozitivní vliv nejen na deštníkový druh perlorodku říční, ale i na další široké spektrum organismů, které mají v blízkém okolí řadu zbytkových lokalit.</w:t>
      </w:r>
    </w:p>
    <w:p w14:paraId="3634496D" w14:textId="77777777" w:rsidR="00283438" w:rsidRPr="00480CDB" w:rsidRDefault="00283438" w:rsidP="00E208F9">
      <w:pPr>
        <w:pStyle w:val="KUJKnormal"/>
        <w:spacing w:before="60"/>
        <w:contextualSpacing w:val="0"/>
      </w:pPr>
      <w:r>
        <w:rPr>
          <w:rFonts w:eastAsia="Times New Roman" w:cs="Arial"/>
          <w:szCs w:val="20"/>
          <w:lang w:eastAsia="cs-CZ"/>
        </w:rPr>
        <w:t>V případě schválení projektu bude žádost do NPO podána do konce září 2023. Pokud bude akceptována, v roce 2023 proběhne výběrové řízení na dodavatele studie, v roce 2024 bude studie zpracovávána a odevzdána na začátku roku 2025.</w:t>
      </w:r>
    </w:p>
    <w:p w14:paraId="0EF19C3D" w14:textId="77777777" w:rsidR="00283438" w:rsidRDefault="00283438" w:rsidP="009E5894">
      <w:pPr>
        <w:pStyle w:val="KUJKnormal"/>
      </w:pPr>
    </w:p>
    <w:p w14:paraId="66038821" w14:textId="77777777" w:rsidR="00283438" w:rsidRDefault="00283438" w:rsidP="009E5894">
      <w:pPr>
        <w:pStyle w:val="KUJKnormal"/>
      </w:pPr>
    </w:p>
    <w:p w14:paraId="308A4E21" w14:textId="77777777" w:rsidR="00283438" w:rsidRDefault="00283438" w:rsidP="009E5894">
      <w:pPr>
        <w:pStyle w:val="KUJKnormal"/>
      </w:pPr>
      <w:r>
        <w:t>Finanční nároky a krytí: Náklady na realizaci projektu jsou navrženy jako maximální, vypočtené dle obvyklých nákladů obdobných projektů a jsou v souladu s podmínkami výzvy NPO. Náklady na studii ve výši 980 000 Kč jsou 100% financovány z NPO. Nezpůsobilé náklady ve výši max. 200 000 Kč jsou do projektu zahrnuty jako rezerva pro případ, že by bylo nutno zpracovat nebo získat data z dodatečných průzkumů. Náklady na realizaci projektu budou v případě schválení zahrnuty do návrhu rozpočtu 2024 a SRV 2025-2026.</w:t>
      </w:r>
    </w:p>
    <w:p w14:paraId="44E4104B" w14:textId="77777777" w:rsidR="00283438" w:rsidRDefault="00283438" w:rsidP="009E5894">
      <w:pPr>
        <w:pStyle w:val="KUJKnormal"/>
      </w:pPr>
    </w:p>
    <w:p w14:paraId="7C51F1F2" w14:textId="77777777" w:rsidR="00283438" w:rsidRDefault="00283438" w:rsidP="009E5894">
      <w:pPr>
        <w:pStyle w:val="KUJKnormal"/>
      </w:pPr>
    </w:p>
    <w:p w14:paraId="6EBBD5E9" w14:textId="77777777" w:rsidR="00283438" w:rsidRDefault="00283438" w:rsidP="00C90E20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>Souhlasím z hlediska rozpočtového krytí. Požadované finanční prostředky nejsou součástí schváleného SVR na roky 2024-2025, proto je nutné projekt zahrnout do podkladů pro tvorbu rozpočtu ORJ 20 - Strukturální fondy EU na rok 2024 a SVR 2025-26.</w:t>
      </w:r>
    </w:p>
    <w:p w14:paraId="370A355F" w14:textId="77777777" w:rsidR="00283438" w:rsidRDefault="00283438" w:rsidP="009E5894">
      <w:pPr>
        <w:pStyle w:val="KUJKnormal"/>
      </w:pPr>
    </w:p>
    <w:p w14:paraId="1DAE3C61" w14:textId="77777777" w:rsidR="00283438" w:rsidRDefault="00283438" w:rsidP="009E5894">
      <w:pPr>
        <w:pStyle w:val="KUJKnormal"/>
      </w:pPr>
    </w:p>
    <w:p w14:paraId="404F17ED" w14:textId="77777777" w:rsidR="00283438" w:rsidRDefault="00283438" w:rsidP="009E5894">
      <w:pPr>
        <w:pStyle w:val="KUJKnormal"/>
      </w:pPr>
      <w:r>
        <w:t>Návrh projednán (stanoviska):</w:t>
      </w:r>
      <w:r w:rsidRPr="007F2701">
        <w:t xml:space="preserve"> </w:t>
      </w:r>
      <w:r>
        <w:t>Materiál byl projednán radou Jihočeského kraje a doporučen zastupitelstvu kraje ke schválení (usnesení č. 943/2023/RK-74 ze dne 07. 09. 2023).</w:t>
      </w:r>
    </w:p>
    <w:p w14:paraId="3555ABE6" w14:textId="77777777" w:rsidR="00283438" w:rsidRDefault="00283438" w:rsidP="009E5894">
      <w:pPr>
        <w:pStyle w:val="KUJKnormal"/>
      </w:pPr>
    </w:p>
    <w:p w14:paraId="32B0775D" w14:textId="77777777" w:rsidR="00283438" w:rsidRDefault="00283438" w:rsidP="009E5894">
      <w:pPr>
        <w:pStyle w:val="KUJKnormal"/>
      </w:pPr>
    </w:p>
    <w:p w14:paraId="36DFF856" w14:textId="77777777" w:rsidR="00283438" w:rsidRPr="007939A8" w:rsidRDefault="00283438" w:rsidP="00740719">
      <w:pPr>
        <w:pStyle w:val="KUJKtucny"/>
      </w:pPr>
      <w:r w:rsidRPr="007939A8">
        <w:t>PŘÍLOHY:</w:t>
      </w:r>
    </w:p>
    <w:p w14:paraId="4946D502" w14:textId="77777777" w:rsidR="00283438" w:rsidRDefault="00283438" w:rsidP="009E5894">
      <w:pPr>
        <w:pStyle w:val="KUJKcislovany"/>
      </w:pPr>
      <w:r>
        <w:t>Formulář evropského projektu</w:t>
      </w:r>
      <w:r w:rsidRPr="0081756D">
        <w:t xml:space="preserve"> </w:t>
      </w:r>
    </w:p>
    <w:p w14:paraId="3D66786E" w14:textId="77777777" w:rsidR="00283438" w:rsidRDefault="00283438" w:rsidP="009E5894">
      <w:pPr>
        <w:pStyle w:val="KUJKnormal"/>
      </w:pPr>
    </w:p>
    <w:p w14:paraId="1F26F179" w14:textId="77777777" w:rsidR="00283438" w:rsidRPr="00805D15" w:rsidRDefault="00283438" w:rsidP="009E5894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805D15">
        <w:rPr>
          <w:b w:val="0"/>
        </w:rPr>
        <w:t>vedoucí OZZL - Ing. Zdeněk Klimeš</w:t>
      </w:r>
    </w:p>
    <w:p w14:paraId="340A7CCF" w14:textId="77777777" w:rsidR="00283438" w:rsidRDefault="00283438" w:rsidP="009E5894">
      <w:pPr>
        <w:pStyle w:val="KUJKnormal"/>
      </w:pPr>
    </w:p>
    <w:p w14:paraId="1162E07A" w14:textId="77777777" w:rsidR="00283438" w:rsidRDefault="00283438" w:rsidP="009E5894">
      <w:pPr>
        <w:pStyle w:val="KUJKnormal"/>
      </w:pPr>
      <w:r>
        <w:t>Termín kontroly: 31. 10. 2023</w:t>
      </w:r>
    </w:p>
    <w:p w14:paraId="194A628B" w14:textId="77777777" w:rsidR="00283438" w:rsidRDefault="00283438" w:rsidP="009E5894">
      <w:pPr>
        <w:pStyle w:val="KUJKnormal"/>
      </w:pPr>
      <w:r>
        <w:t>Termín splnění: 19. 12. 2025</w:t>
      </w:r>
    </w:p>
    <w:p w14:paraId="55B32724" w14:textId="77777777" w:rsidR="00283438" w:rsidRDefault="0028343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4A79" w14:textId="77777777" w:rsidR="00283438" w:rsidRDefault="00283438" w:rsidP="00283438">
    <w:r>
      <w:rPr>
        <w:noProof/>
      </w:rPr>
      <w:pict w14:anchorId="10C62CA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A514FB" w14:textId="77777777" w:rsidR="00283438" w:rsidRPr="005F485E" w:rsidRDefault="00283438" w:rsidP="0028343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522B182" w14:textId="77777777" w:rsidR="00283438" w:rsidRPr="005F485E" w:rsidRDefault="00283438" w:rsidP="0028343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DAAB1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D0DC8F6" w14:textId="77777777" w:rsidR="00283438" w:rsidRDefault="00283438" w:rsidP="00283438">
    <w:r>
      <w:pict w14:anchorId="386FBCA7">
        <v:rect id="_x0000_i1026" style="width:481.9pt;height:2pt" o:hralign="center" o:hrstd="t" o:hrnoshade="t" o:hr="t" fillcolor="black" stroked="f"/>
      </w:pict>
    </w:r>
  </w:p>
  <w:p w14:paraId="3F7E9D63" w14:textId="77777777" w:rsidR="00283438" w:rsidRPr="00283438" w:rsidRDefault="00283438" w:rsidP="002834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46B68"/>
    <w:multiLevelType w:val="hybridMultilevel"/>
    <w:tmpl w:val="6F9AD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53740"/>
    <w:multiLevelType w:val="hybridMultilevel"/>
    <w:tmpl w:val="C52A6CA0"/>
    <w:lvl w:ilvl="0" w:tplc="0405000F">
      <w:start w:val="1"/>
      <w:numFmt w:val="decimal"/>
      <w:lvlText w:val="%1."/>
      <w:lvlJc w:val="left"/>
      <w:pPr>
        <w:ind w:left="767" w:hanging="360"/>
      </w:pPr>
    </w:lvl>
    <w:lvl w:ilvl="1" w:tplc="04050019">
      <w:start w:val="1"/>
      <w:numFmt w:val="lowerLetter"/>
      <w:lvlText w:val="%2."/>
      <w:lvlJc w:val="left"/>
      <w:pPr>
        <w:ind w:left="1487" w:hanging="360"/>
      </w:pPr>
    </w:lvl>
    <w:lvl w:ilvl="2" w:tplc="0405001B">
      <w:start w:val="1"/>
      <w:numFmt w:val="lowerRoman"/>
      <w:lvlText w:val="%3."/>
      <w:lvlJc w:val="right"/>
      <w:pPr>
        <w:ind w:left="2207" w:hanging="180"/>
      </w:pPr>
    </w:lvl>
    <w:lvl w:ilvl="3" w:tplc="0405000F">
      <w:start w:val="1"/>
      <w:numFmt w:val="decimal"/>
      <w:lvlText w:val="%4."/>
      <w:lvlJc w:val="left"/>
      <w:pPr>
        <w:ind w:left="2927" w:hanging="360"/>
      </w:pPr>
    </w:lvl>
    <w:lvl w:ilvl="4" w:tplc="04050019">
      <w:start w:val="1"/>
      <w:numFmt w:val="lowerLetter"/>
      <w:lvlText w:val="%5."/>
      <w:lvlJc w:val="left"/>
      <w:pPr>
        <w:ind w:left="3647" w:hanging="360"/>
      </w:pPr>
    </w:lvl>
    <w:lvl w:ilvl="5" w:tplc="0405001B">
      <w:start w:val="1"/>
      <w:numFmt w:val="lowerRoman"/>
      <w:lvlText w:val="%6."/>
      <w:lvlJc w:val="right"/>
      <w:pPr>
        <w:ind w:left="4367" w:hanging="180"/>
      </w:pPr>
    </w:lvl>
    <w:lvl w:ilvl="6" w:tplc="0405000F">
      <w:start w:val="1"/>
      <w:numFmt w:val="decimal"/>
      <w:lvlText w:val="%7."/>
      <w:lvlJc w:val="left"/>
      <w:pPr>
        <w:ind w:left="5087" w:hanging="360"/>
      </w:pPr>
    </w:lvl>
    <w:lvl w:ilvl="7" w:tplc="04050019">
      <w:start w:val="1"/>
      <w:numFmt w:val="lowerLetter"/>
      <w:lvlText w:val="%8."/>
      <w:lvlJc w:val="left"/>
      <w:pPr>
        <w:ind w:left="5807" w:hanging="360"/>
      </w:pPr>
    </w:lvl>
    <w:lvl w:ilvl="8" w:tplc="0405001B">
      <w:start w:val="1"/>
      <w:numFmt w:val="lowerRoman"/>
      <w:lvlText w:val="%9."/>
      <w:lvlJc w:val="right"/>
      <w:pPr>
        <w:ind w:left="6527" w:hanging="180"/>
      </w:pPr>
    </w:lvl>
  </w:abstractNum>
  <w:num w:numId="1" w16cid:durableId="1943150116">
    <w:abstractNumId w:val="1"/>
  </w:num>
  <w:num w:numId="2" w16cid:durableId="1671373226">
    <w:abstractNumId w:val="2"/>
  </w:num>
  <w:num w:numId="3" w16cid:durableId="1545823345">
    <w:abstractNumId w:val="9"/>
  </w:num>
  <w:num w:numId="4" w16cid:durableId="1828008639">
    <w:abstractNumId w:val="7"/>
  </w:num>
  <w:num w:numId="5" w16cid:durableId="573786533">
    <w:abstractNumId w:val="0"/>
  </w:num>
  <w:num w:numId="6" w16cid:durableId="216554467">
    <w:abstractNumId w:val="3"/>
  </w:num>
  <w:num w:numId="7" w16cid:durableId="408038106">
    <w:abstractNumId w:val="6"/>
  </w:num>
  <w:num w:numId="8" w16cid:durableId="844827550">
    <w:abstractNumId w:val="4"/>
  </w:num>
  <w:num w:numId="9" w16cid:durableId="1802305728">
    <w:abstractNumId w:val="5"/>
  </w:num>
  <w:num w:numId="10" w16cid:durableId="1790473271">
    <w:abstractNumId w:val="8"/>
  </w:num>
  <w:num w:numId="11" w16cid:durableId="1675762991">
    <w:abstractNumId w:val="10"/>
  </w:num>
  <w:num w:numId="12" w16cid:durableId="177083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438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2023-09-22T07:27:00Z</dcterms:created>
  <dcterms:modified xsi:type="dcterms:W3CDTF">2023-09-22T07:27:00Z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6385361</vt:i4>
  </property>
  <property fmtid="{D5CDD505-2E9C-101B-9397-08002B2CF9AE}" pid="4" name="UlozitJako">
    <vt:lpwstr>C:\Users\mrazkova\AppData\Local\Temp\iU29006596\Zastupitelstvo\2023-09-21\Navrhy\337-ZK-23.</vt:lpwstr>
  </property>
  <property fmtid="{D5CDD505-2E9C-101B-9397-08002B2CF9AE}" pid="5" name="Zpracovat">
    <vt:bool>false</vt:bool>
  </property>
</Properties>
</file>