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5210" w14:paraId="7D623B4D" w14:textId="77777777" w:rsidTr="003B7A5A">
        <w:trPr>
          <w:trHeight w:hRule="exact" w:val="397"/>
        </w:trPr>
        <w:tc>
          <w:tcPr>
            <w:tcW w:w="2376" w:type="dxa"/>
            <w:hideMark/>
          </w:tcPr>
          <w:p w14:paraId="78EBD00A" w14:textId="77777777" w:rsidR="000C5210" w:rsidRDefault="000C52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99008E" w14:textId="77777777" w:rsidR="000C5210" w:rsidRDefault="000C5210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4DB6F0DF" w14:textId="77777777" w:rsidR="000C5210" w:rsidRDefault="000C521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437812" w14:textId="77777777" w:rsidR="000C5210" w:rsidRDefault="000C5210" w:rsidP="00970720">
            <w:pPr>
              <w:pStyle w:val="KUJKnormal"/>
            </w:pPr>
          </w:p>
        </w:tc>
      </w:tr>
      <w:tr w:rsidR="000C5210" w14:paraId="5CF7E14D" w14:textId="77777777" w:rsidTr="003B7A5A">
        <w:trPr>
          <w:cantSplit/>
          <w:trHeight w:hRule="exact" w:val="397"/>
        </w:trPr>
        <w:tc>
          <w:tcPr>
            <w:tcW w:w="2376" w:type="dxa"/>
            <w:hideMark/>
          </w:tcPr>
          <w:p w14:paraId="3C8A0769" w14:textId="77777777" w:rsidR="000C5210" w:rsidRDefault="000C52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4B2C86" w14:textId="77777777" w:rsidR="000C5210" w:rsidRDefault="000C5210" w:rsidP="00970720">
            <w:pPr>
              <w:pStyle w:val="KUJKnormal"/>
            </w:pPr>
            <w:r>
              <w:t>287/ZK/23</w:t>
            </w:r>
          </w:p>
        </w:tc>
      </w:tr>
      <w:tr w:rsidR="000C5210" w14:paraId="61607883" w14:textId="77777777" w:rsidTr="003B7A5A">
        <w:trPr>
          <w:trHeight w:val="397"/>
        </w:trPr>
        <w:tc>
          <w:tcPr>
            <w:tcW w:w="2376" w:type="dxa"/>
          </w:tcPr>
          <w:p w14:paraId="2C8B31E6" w14:textId="77777777" w:rsidR="000C5210" w:rsidRDefault="000C5210" w:rsidP="00970720"/>
          <w:p w14:paraId="7305FFBF" w14:textId="77777777" w:rsidR="000C5210" w:rsidRDefault="000C52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312F42" w14:textId="77777777" w:rsidR="000C5210" w:rsidRDefault="000C5210" w:rsidP="00970720"/>
          <w:p w14:paraId="21EECDF8" w14:textId="77777777" w:rsidR="000C5210" w:rsidRDefault="000C52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podle stavu k 30. 6. 2023</w:t>
            </w:r>
          </w:p>
        </w:tc>
      </w:tr>
    </w:tbl>
    <w:p w14:paraId="4CFC1620" w14:textId="77777777" w:rsidR="000C5210" w:rsidRDefault="000C5210" w:rsidP="003B7A5A">
      <w:pPr>
        <w:pStyle w:val="KUJKnormal"/>
        <w:rPr>
          <w:b/>
          <w:bCs/>
        </w:rPr>
      </w:pPr>
      <w:r>
        <w:rPr>
          <w:b/>
          <w:bCs/>
        </w:rPr>
        <w:pict w14:anchorId="2A125457">
          <v:rect id="_x0000_i1029" style="width:453.6pt;height:1.5pt" o:hralign="center" o:hrstd="t" o:hrnoshade="t" o:hr="t" fillcolor="black" stroked="f"/>
        </w:pict>
      </w:r>
    </w:p>
    <w:p w14:paraId="7DE9AFF9" w14:textId="77777777" w:rsidR="000C5210" w:rsidRDefault="000C5210" w:rsidP="003B7A5A">
      <w:pPr>
        <w:pStyle w:val="KUJKnormal"/>
      </w:pPr>
    </w:p>
    <w:p w14:paraId="0910E84F" w14:textId="77777777" w:rsidR="000C5210" w:rsidRDefault="000C5210" w:rsidP="003B7A5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5210" w14:paraId="1297A3C1" w14:textId="77777777" w:rsidTr="002559B8">
        <w:trPr>
          <w:trHeight w:val="397"/>
        </w:trPr>
        <w:tc>
          <w:tcPr>
            <w:tcW w:w="2350" w:type="dxa"/>
            <w:hideMark/>
          </w:tcPr>
          <w:p w14:paraId="68ACD41F" w14:textId="77777777" w:rsidR="000C5210" w:rsidRDefault="000C52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5296A8" w14:textId="77777777" w:rsidR="000C5210" w:rsidRDefault="000C5210" w:rsidP="002559B8">
            <w:pPr>
              <w:pStyle w:val="KUJKnormal"/>
            </w:pPr>
            <w:r>
              <w:t>Ing. Tomáš Hajdušek</w:t>
            </w:r>
          </w:p>
          <w:p w14:paraId="006A8C5E" w14:textId="77777777" w:rsidR="000C5210" w:rsidRDefault="000C5210" w:rsidP="002559B8"/>
        </w:tc>
      </w:tr>
      <w:tr w:rsidR="000C5210" w14:paraId="4F47EC61" w14:textId="77777777" w:rsidTr="002559B8">
        <w:trPr>
          <w:trHeight w:val="397"/>
        </w:trPr>
        <w:tc>
          <w:tcPr>
            <w:tcW w:w="2350" w:type="dxa"/>
          </w:tcPr>
          <w:p w14:paraId="5E71E008" w14:textId="77777777" w:rsidR="000C5210" w:rsidRDefault="000C5210" w:rsidP="002559B8">
            <w:pPr>
              <w:pStyle w:val="KUJKtucny"/>
            </w:pPr>
            <w:r>
              <w:t>Zpracoval:</w:t>
            </w:r>
          </w:p>
          <w:p w14:paraId="51AC6BBC" w14:textId="77777777" w:rsidR="000C5210" w:rsidRDefault="000C5210" w:rsidP="002559B8"/>
        </w:tc>
        <w:tc>
          <w:tcPr>
            <w:tcW w:w="6862" w:type="dxa"/>
            <w:hideMark/>
          </w:tcPr>
          <w:p w14:paraId="5EADDEC4" w14:textId="77777777" w:rsidR="000C5210" w:rsidRDefault="000C5210" w:rsidP="002559B8">
            <w:pPr>
              <w:pStyle w:val="KUJKnormal"/>
            </w:pPr>
            <w:r>
              <w:t>OEKO</w:t>
            </w:r>
          </w:p>
        </w:tc>
      </w:tr>
      <w:tr w:rsidR="000C5210" w14:paraId="4F749382" w14:textId="77777777" w:rsidTr="002559B8">
        <w:trPr>
          <w:trHeight w:val="397"/>
        </w:trPr>
        <w:tc>
          <w:tcPr>
            <w:tcW w:w="2350" w:type="dxa"/>
          </w:tcPr>
          <w:p w14:paraId="154423A7" w14:textId="77777777" w:rsidR="000C5210" w:rsidRPr="009715F9" w:rsidRDefault="000C52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186C0C" w14:textId="77777777" w:rsidR="000C5210" w:rsidRDefault="000C5210" w:rsidP="002559B8"/>
        </w:tc>
        <w:tc>
          <w:tcPr>
            <w:tcW w:w="6862" w:type="dxa"/>
            <w:hideMark/>
          </w:tcPr>
          <w:p w14:paraId="2DF5F2E9" w14:textId="77777777" w:rsidR="000C5210" w:rsidRDefault="000C5210" w:rsidP="002559B8">
            <w:pPr>
              <w:pStyle w:val="KUJKnormal"/>
            </w:pPr>
            <w:r>
              <w:t>Ing. Ladislav Staněk</w:t>
            </w:r>
          </w:p>
        </w:tc>
      </w:tr>
    </w:tbl>
    <w:p w14:paraId="464BCB47" w14:textId="77777777" w:rsidR="000C5210" w:rsidRDefault="000C5210" w:rsidP="003B7A5A">
      <w:pPr>
        <w:pStyle w:val="KUJKnormal"/>
      </w:pPr>
    </w:p>
    <w:p w14:paraId="64C22F98" w14:textId="77777777" w:rsidR="000C5210" w:rsidRPr="0052161F" w:rsidRDefault="000C5210" w:rsidP="003B7A5A">
      <w:pPr>
        <w:pStyle w:val="KUJKtucny"/>
      </w:pPr>
      <w:r w:rsidRPr="0052161F">
        <w:t>NÁVRH USNESENÍ</w:t>
      </w:r>
    </w:p>
    <w:p w14:paraId="08A8BB08" w14:textId="77777777" w:rsidR="000C5210" w:rsidRDefault="000C5210" w:rsidP="003B7A5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1BC918" w14:textId="77777777" w:rsidR="000C5210" w:rsidRPr="00841DFC" w:rsidRDefault="000C5210" w:rsidP="003B7A5A">
      <w:pPr>
        <w:pStyle w:val="KUJKPolozka"/>
      </w:pPr>
      <w:r w:rsidRPr="00841DFC">
        <w:t>Zastupitelstvo Jihočeského kraje</w:t>
      </w:r>
    </w:p>
    <w:p w14:paraId="60FE777B" w14:textId="77777777" w:rsidR="000C5210" w:rsidRDefault="000C5210" w:rsidP="00955F1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D3A9AC1" w14:textId="77777777" w:rsidR="000C5210" w:rsidRDefault="000C5210" w:rsidP="00955F1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informaci o plnění rozpočtu Jihočeského kraje k 30. 6. 2023 dle důvodové zprávy a příloh návrhu č. 287/ZK/23.</w:t>
      </w:r>
    </w:p>
    <w:p w14:paraId="6C4F9542" w14:textId="77777777" w:rsidR="000C5210" w:rsidRPr="00955F1D" w:rsidRDefault="000C5210" w:rsidP="00955F1D">
      <w:pPr>
        <w:pStyle w:val="KUJKnormal"/>
      </w:pPr>
    </w:p>
    <w:p w14:paraId="441DF931" w14:textId="77777777" w:rsidR="000C5210" w:rsidRDefault="000C5210" w:rsidP="00955F1D">
      <w:pPr>
        <w:pStyle w:val="KUJKmezeraDZ"/>
      </w:pPr>
      <w:bookmarkStart w:id="1" w:name="US_DuvodZprava"/>
      <w:bookmarkEnd w:id="1"/>
    </w:p>
    <w:p w14:paraId="4CED9C26" w14:textId="77777777" w:rsidR="000C5210" w:rsidRDefault="000C5210" w:rsidP="00955F1D">
      <w:pPr>
        <w:pStyle w:val="KUJKnadpisDZ"/>
      </w:pPr>
      <w:r>
        <w:t>DŮVODOVÁ ZPRÁVA</w:t>
      </w:r>
    </w:p>
    <w:p w14:paraId="528C455B" w14:textId="77777777" w:rsidR="000C5210" w:rsidRPr="009B7B0B" w:rsidRDefault="000C5210" w:rsidP="00955F1D">
      <w:pPr>
        <w:pStyle w:val="KUJKmezeraDZ"/>
      </w:pPr>
    </w:p>
    <w:p w14:paraId="6A4D8EF2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Materiál je předkládán Zastupitelstvu Jihočeského kraje na základě usnesení č. 134/2016/ZK-22, které ukládá zařazovat do programu jednání zastupitelstva informaci o plnění rozpočtu s pololetní periodicitou.</w:t>
      </w:r>
    </w:p>
    <w:p w14:paraId="3C71C06B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2" w:name="_Hlk68105725"/>
      <w:r>
        <w:rPr>
          <w:rFonts w:ascii="Arial" w:eastAsia="Times New Roman" w:hAnsi="Arial" w:cs="Arial"/>
          <w:iCs/>
          <w:sz w:val="20"/>
          <w:szCs w:val="20"/>
          <w:lang w:eastAsia="cs-CZ"/>
        </w:rPr>
        <w:t>bilancí a přehledem vybraných ukazatelů za 1. pololetí 202</w:t>
      </w:r>
      <w:bookmarkEnd w:id="2"/>
      <w:r>
        <w:rPr>
          <w:rFonts w:ascii="Arial" w:eastAsia="Times New Roman" w:hAnsi="Arial" w:cs="Arial"/>
          <w:iCs/>
          <w:sz w:val="20"/>
          <w:szCs w:val="20"/>
          <w:lang w:eastAsia="cs-CZ"/>
        </w:rPr>
        <w:t>3 (příloha č. 1) a dále příloha č. 2, která obsahuje oficiální výkaz Jihočeského kraje za hodnocené období. Výkaz byl předán ve stanovené lhůtě do Centrálního systému účetních informací státu.</w:t>
      </w:r>
    </w:p>
    <w:p w14:paraId="72EF8EED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Ve vykazovaném období leden až červen 2023 bylo dosaženo přebytku hospodaření ve výši 1 529 502 444,40 Kč.</w:t>
      </w:r>
    </w:p>
    <w:p w14:paraId="6B4B13EE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A4878CA" w14:textId="77777777" w:rsidR="000C5210" w:rsidRDefault="000C5210" w:rsidP="00AD49D1">
      <w:pPr>
        <w:keepNext/>
        <w:numPr>
          <w:ilvl w:val="0"/>
          <w:numId w:val="11"/>
        </w:numPr>
        <w:spacing w:before="24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Úvod</w:t>
      </w:r>
    </w:p>
    <w:p w14:paraId="094EA372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Zdrojem údajů pro sestavení textové části rozboru jsou data z finančního výkazu Jihočeského kraje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(„Výkaz pro hodnocení plnění rozpočtu územních samosprávných celků, dobrovolných svazků obcí a regionálních rad – Výkaz FIN 2-12 M“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) za období 6/2023 a dále údaje čerpané z účetního a rozpočtového SW Ginis za stejné období. Veškeré číselné parametry jsou uvedeny po konsolidaci příjmů a výdajů.</w:t>
      </w:r>
    </w:p>
    <w:p w14:paraId="28E0F986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Publikované součtové údaje v tabulkách jsou v některých případech zatíženy nepřesností na posledním desetinném místě vzhledem k zaokrouhlování.</w:t>
      </w:r>
    </w:p>
    <w:p w14:paraId="59D14A7E" w14:textId="77777777" w:rsidR="000C5210" w:rsidRDefault="000C5210" w:rsidP="00AD49D1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Detailní pohled do jednotlivých příjmů a výdajů umožňuje aplikace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ROZKLIKÁVACÍ ROZPOČET</w:t>
      </w:r>
      <w:r>
        <w:rPr>
          <w:rFonts w:ascii="Arial" w:hAnsi="Arial" w:cs="Arial"/>
          <w:sz w:val="20"/>
          <w:szCs w:val="20"/>
          <w:lang w:eastAsia="cs-CZ"/>
        </w:rPr>
        <w:t xml:space="preserve"> Jihočeského kraje, který je k dispozici na webových stránkách Jihočeského kraje pod odkazem: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https://www.kraj-jihocesky.cz/index.php/jihocesky-kraj/hospodareni-kraje</w:t>
        </w:r>
      </w:hyperlink>
      <w:r>
        <w:rPr>
          <w:rFonts w:ascii="Arial" w:hAnsi="Arial" w:cs="Arial"/>
          <w:sz w:val="20"/>
          <w:szCs w:val="20"/>
          <w:lang w:eastAsia="cs-CZ"/>
        </w:rPr>
        <w:t xml:space="preserve">. Na tomto rozpočtovém portále jsou pravidelně každý měsíc zveřejňovány aktuální údaje o plnění rozpočtu. </w:t>
      </w:r>
    </w:p>
    <w:p w14:paraId="4D23A22F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B11B9D1" w14:textId="77777777" w:rsidR="000C5210" w:rsidRDefault="000C5210" w:rsidP="00AD49D1">
      <w:pPr>
        <w:keepNext/>
        <w:numPr>
          <w:ilvl w:val="0"/>
          <w:numId w:val="11"/>
        </w:numPr>
        <w:spacing w:before="12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Základní charakteristiky finančního hospodaření kraje</w:t>
      </w:r>
    </w:p>
    <w:p w14:paraId="2212717A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vanish/>
          <w:sz w:val="20"/>
          <w:szCs w:val="20"/>
          <w:lang w:eastAsia="cs-CZ"/>
          <w:specVanish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Rozpočet na rok 2023 byl schválen usnesením Zastupitelstva Jihočeského kraje č. 395/2022/ZK-23 ze dne 15. 12. 2022 jako schodkový s celkovými příjmy 24 492 722 600 Kč, celkovými výdaji 25 843 486 700 Kč a schodkem 1 350 764 100 Kč.</w:t>
      </w:r>
    </w:p>
    <w:p w14:paraId="38981430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Ke krytí schodku bylo spolu s financováním přitom schváleno zapojení finančních prostředků z minulých let, deponovaných na účtech účelových fondů kraje v úhrnném objemu 1 350 764 100 Kč (z toho zapojení části zůstatku Fondu rezerv a rozvoje Jihočeského kraje ve výši 1 303 657 900</w:t>
      </w:r>
      <w: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Kč).</w:t>
      </w:r>
    </w:p>
    <w:p w14:paraId="3D4B3820" w14:textId="77777777" w:rsidR="000C5210" w:rsidRDefault="000C5210" w:rsidP="00AD49D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 průběhu 1. pololetí byly příjmy i výdaje schváleného rozpočtu průběžně upravovány rozpočtovými opatřeními, evidovanými v časové posloupnosti.</w:t>
      </w:r>
    </w:p>
    <w:p w14:paraId="09B4F06E" w14:textId="77777777" w:rsidR="000C5210" w:rsidRDefault="000C5210" w:rsidP="00AD49D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Důvodem rozpočtových opatření, provedených počátkem roku, byly zejména převody nevyčerpaných prostředků z roku 2022 do roku 2023.</w:t>
      </w:r>
    </w:p>
    <w:p w14:paraId="7D786667" w14:textId="77777777" w:rsidR="000C5210" w:rsidRDefault="000C5210" w:rsidP="00AD49D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0EFD7156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 provedení veškerých rozpočtových opatření, došlo k navýšení celkových příjmů schváleného rozpočtu o 556 234,61 tis. Kč a navýšení celkových výdajů o 1 269 864,55 tis. Kč. Tyto rozpočtové změny měly ve svém konečném důsledku dopad do záporného salda schváleného rozpočtu, který se projevil jeho navýšením o 713 629,94 tis. Kč. Dle upraveného rozpočtu na konci prvního pololetí se tak předpokládal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maximální povolený schodek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na rok 2023 na úrovni 2 064 394,04 tis. Kč.</w:t>
      </w:r>
    </w:p>
    <w:p w14:paraId="2BF1A3B8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Rozpočtové hospodaření Jihočeského kraje podle stavu k 30. 6. 2023 vykazuje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skutečný přebytek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 výši 1 529 502,44 tis. Kč. Základní parametry schváleného rozpočtu, upraveného rozpočtu a skutečnosti za 1. pololetí roku 2023 jsou patrné z následujícího přehledu.</w:t>
      </w:r>
    </w:p>
    <w:p w14:paraId="70229B83" w14:textId="77777777" w:rsidR="000C5210" w:rsidRDefault="000C5210" w:rsidP="00AD49D1">
      <w:pPr>
        <w:spacing w:before="240" w:after="6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1: Bilance příjmů a výdajů k 30. 6. 2023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0C5210" w14:paraId="64358B25" w14:textId="77777777" w:rsidTr="00AD49D1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AB4F057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752E46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7CDFDD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A4F01B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30. 6. 2023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9C3F4E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C5210" w14:paraId="118B62BD" w14:textId="77777777" w:rsidTr="00AD49D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7F55C" w14:textId="77777777" w:rsidR="000C5210" w:rsidRDefault="000C5210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D258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24 492 722,60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0A1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25 048 957,21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1EFB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15 229 158,73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4965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60,80</w:t>
            </w:r>
          </w:p>
        </w:tc>
      </w:tr>
      <w:tr w:rsidR="000C5210" w14:paraId="4D08C60C" w14:textId="77777777" w:rsidTr="00AD49D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7A53C" w14:textId="77777777" w:rsidR="000C5210" w:rsidRDefault="000C5210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A797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25 843 486,70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3FEC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27 113 351,25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0213" w14:textId="77777777" w:rsidR="000C5210" w:rsidRDefault="000C521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13 699 656,29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555D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50,53</w:t>
            </w:r>
          </w:p>
        </w:tc>
      </w:tr>
      <w:tr w:rsidR="000C5210" w14:paraId="591B4A45" w14:textId="77777777" w:rsidTr="00AD49D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29E76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087B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-1 350 764,10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3AEF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-2 064 394,04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E461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+1 529 502,44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12F7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-74,09</w:t>
            </w:r>
          </w:p>
        </w:tc>
      </w:tr>
    </w:tbl>
    <w:p w14:paraId="06FD3048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A31ED42" w14:textId="77777777" w:rsidR="000C5210" w:rsidRDefault="000C5210" w:rsidP="00AD49D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Disproporce mezi platným upraveným rozpočtem a dosaženou skutečností jsou obsahem níže uvedených komentářů. Obecně lze přitom konstatovat, že skutečně vykázaný přebytek rozpočtového hospodaření k 30. 6. 2023 bezprostředně souvisí s časovým plněním příjmů a výdajů. Především byla kraji, jako již standardně, v červnu poskytnuta zálohová část dotace MŠMT na přímé náklady na vzdělávání na období červenec a srpen 2023 v úhrnném objemu 1 905 597,32 mil. Kč s redistribucí školským zařízením v následném období. Významnou roli má i skutečnost, že investiční výdaje jsou obvykle realizovány až ve druhé části roku. Z uvedených důvodů je třeba brát do úvahy, že tento relativně příznivý výsledek hospodaření (oproti upravenému rozpočtu) má spíše informativní charakter a na jeho konečnou výši bude mít dopad ještě celá řada vlivů, zejména pak realizace vlastních výdajů. </w:t>
      </w:r>
    </w:p>
    <w:p w14:paraId="2867D22C" w14:textId="77777777" w:rsidR="000C5210" w:rsidRDefault="000C5210" w:rsidP="00AD49D1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1F6A99E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Měsíční vývoj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plnění příjmů, výdajů a salda přírůstkově v průběhu 1. pololetí 2023 je zřejmý z následující tabulky a grafu.</w:t>
      </w:r>
    </w:p>
    <w:p w14:paraId="5ED5DEC0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DCF491C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4349D73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1891C4C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40F4914" w14:textId="77777777" w:rsidR="000C5210" w:rsidRDefault="000C5210" w:rsidP="00AD49D1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9736A51" w14:textId="77777777" w:rsidR="000C5210" w:rsidRDefault="000C5210" w:rsidP="00AD49D1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2: Příjmy, výdaje a saldo k 30. 6. 2023 (nápočtem, v tis. Kč)</w:t>
      </w:r>
    </w:p>
    <w:tbl>
      <w:tblPr>
        <w:tblW w:w="66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652"/>
        <w:gridCol w:w="1701"/>
        <w:gridCol w:w="1701"/>
      </w:tblGrid>
      <w:tr w:rsidR="000C5210" w14:paraId="7AD041CC" w14:textId="77777777" w:rsidTr="00AD49D1">
        <w:trPr>
          <w:trHeight w:val="69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BC28E67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1DDCB40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CB3B2D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3AA20E3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</w:t>
            </w:r>
          </w:p>
          <w:p w14:paraId="20BC81E7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 výdajů</w:t>
            </w:r>
          </w:p>
        </w:tc>
      </w:tr>
      <w:tr w:rsidR="000C5210" w14:paraId="6291157A" w14:textId="77777777" w:rsidTr="00AD49D1">
        <w:trPr>
          <w:trHeight w:val="364"/>
        </w:trPr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928DF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1ACEF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890 016,50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40FF6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864 968,73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5209E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+25 047,77</w:t>
            </w:r>
          </w:p>
        </w:tc>
      </w:tr>
      <w:tr w:rsidR="000C5210" w14:paraId="585823A6" w14:textId="77777777" w:rsidTr="00AD49D1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F1DF7B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75CAE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4 536 359,81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B67BC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3 386 758,35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7800D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+1 149 601,46</w:t>
            </w:r>
          </w:p>
        </w:tc>
      </w:tr>
      <w:tr w:rsidR="000C5210" w14:paraId="2F19E367" w14:textId="77777777" w:rsidTr="00AD49D1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C8899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121A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7 785 240,60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42BB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6 987 582,26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D68C9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+797 658,34</w:t>
            </w:r>
          </w:p>
        </w:tc>
      </w:tr>
      <w:tr w:rsidR="000C5210" w14:paraId="33838C8C" w14:textId="77777777" w:rsidTr="00AD49D1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35ADFA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01535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8 486 067,42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A4D6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8 006 262,79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71B6B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+479 804,63</w:t>
            </w:r>
          </w:p>
        </w:tc>
      </w:tr>
      <w:tr w:rsidR="000C5210" w14:paraId="7E5B80E6" w14:textId="77777777" w:rsidTr="00AD49D1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3A4EF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B490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11 281 367,44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C7F95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10 694 259,02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75742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+587 108,42</w:t>
            </w:r>
          </w:p>
        </w:tc>
      </w:tr>
      <w:tr w:rsidR="000C5210" w14:paraId="3A787C74" w14:textId="77777777" w:rsidTr="00AD49D1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6CF690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BA14B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15 229 158,73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78FD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13 699 656,29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50908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+1 529 502,44</w:t>
            </w:r>
          </w:p>
        </w:tc>
      </w:tr>
    </w:tbl>
    <w:p w14:paraId="3B4B546B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3F26463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Graf č. 1: Měsíční vývoj salda příjmů a výdajů k 30. 6. 2023 (v tis. Kč)</w:t>
      </w:r>
    </w:p>
    <w:p w14:paraId="150209CD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noProof/>
        </w:rPr>
        <w:pict w14:anchorId="1C3A4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30" type="#_x0000_t75" style="width:483pt;height:205.8pt;visibility:visible">
            <v:imagedata r:id="rId8" o:title=""/>
            <o:lock v:ext="edit" aspectratio="f"/>
          </v:shape>
        </w:pict>
      </w:r>
    </w:p>
    <w:p w14:paraId="0A3EBD2A" w14:textId="77777777" w:rsidR="000C5210" w:rsidRDefault="000C5210" w:rsidP="00AD49D1">
      <w:pPr>
        <w:spacing w:before="120"/>
        <w:jc w:val="center"/>
        <w:rPr>
          <w:rFonts w:ascii="Arial" w:eastAsia="Times New Roman" w:hAnsi="Arial" w:cs="Arial"/>
          <w:sz w:val="8"/>
          <w:szCs w:val="8"/>
          <w:lang w:eastAsia="cs-CZ"/>
        </w:rPr>
      </w:pPr>
    </w:p>
    <w:p w14:paraId="23EBB6DF" w14:textId="77777777" w:rsidR="000C5210" w:rsidRDefault="000C5210" w:rsidP="00AD49D1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„Změna stavu na bankovních účtech“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4D34ED9" w14:textId="77777777" w:rsidR="000C5210" w:rsidRDefault="000C5210" w:rsidP="00AD49D1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849965" w14:textId="77777777" w:rsidR="000C5210" w:rsidRDefault="000C5210" w:rsidP="00AD49D1">
      <w:pPr>
        <w:spacing w:before="12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3: Financování k 30. 6. 2023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59"/>
        <w:gridCol w:w="1425"/>
        <w:gridCol w:w="1499"/>
        <w:gridCol w:w="1187"/>
      </w:tblGrid>
      <w:tr w:rsidR="000C5210" w14:paraId="286F34D2" w14:textId="77777777" w:rsidTr="00AD49D1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EFDAB3B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9ED3B7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2D1928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2AC8CE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30. 6. 2023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66664C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C5210" w14:paraId="304327D5" w14:textId="77777777" w:rsidTr="00AD49D1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4A3381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Změna stavu na bankovních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C630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+1 350 764,10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EF9C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+2 064 394,04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1B27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-1 529 512,66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54BA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-74,09</w:t>
            </w:r>
          </w:p>
        </w:tc>
      </w:tr>
      <w:tr w:rsidR="000C5210" w14:paraId="207E2B05" w14:textId="77777777" w:rsidTr="00AD49D1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BDC11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Operace nemající charakter P a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8CE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C42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6626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+10,22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A628" w14:textId="77777777" w:rsidR="000C5210" w:rsidRDefault="000C5210">
            <w:pPr>
              <w:ind w:firstLineChars="100"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0C5210" w14:paraId="49B38119" w14:textId="77777777" w:rsidTr="00AD49D1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5142B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Financování celkem (+/-)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75B0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+1 350 764,10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006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+2 064 394,04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0422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-1 529 502,44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7327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-74,09</w:t>
            </w:r>
          </w:p>
        </w:tc>
      </w:tr>
    </w:tbl>
    <w:p w14:paraId="066C856F" w14:textId="77777777" w:rsidR="000C5210" w:rsidRDefault="000C5210" w:rsidP="00AD49D1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47B5A4" w14:textId="77777777" w:rsidR="000C5210" w:rsidRDefault="000C5210" w:rsidP="00AD49D1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30. 6. 2023 byly na peněžních účtech kraje a v pokladně vykázány tyto zůstatky: </w:t>
      </w:r>
    </w:p>
    <w:p w14:paraId="360FFE8A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bankovní účty fondů 3 232 034,49 tis. Kč,</w:t>
      </w:r>
    </w:p>
    <w:p w14:paraId="1EA4C32F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běžné účty 3 047 532,76 tis. Kč,</w:t>
      </w:r>
    </w:p>
    <w:p w14:paraId="31E0ADC1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účty projektů 176 181,97 tis. Kč,</w:t>
      </w:r>
    </w:p>
    <w:p w14:paraId="13768A20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pokladna 133,70 tis. Kč.</w:t>
      </w:r>
    </w:p>
    <w:p w14:paraId="459DAC44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tak 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konci 1. pololetí roku 2023 disponoval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zůstatkem prostředků na účtech, fondech a v pokladně </w:t>
      </w:r>
      <w:r>
        <w:rPr>
          <w:rFonts w:ascii="Arial" w:eastAsia="Times New Roman" w:hAnsi="Arial" w:cs="Arial"/>
          <w:sz w:val="20"/>
          <w:szCs w:val="20"/>
          <w:lang w:eastAsia="cs-CZ"/>
        </w:rPr>
        <w:t>ve výši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6 455 882,92 tis.</w:t>
      </w:r>
      <w:bookmarkStart w:id="3" w:name="_Toc419705549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termínovaných vkladech a depozitním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bylo ke stejnému datu deponováno celkem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7 706,01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Celkový zůstatek veškerých finančních prostředků kraje </w:t>
      </w:r>
      <w:r>
        <w:rPr>
          <w:rFonts w:ascii="Arial" w:eastAsia="Times New Roman" w:hAnsi="Arial" w:cs="Arial"/>
          <w:sz w:val="20"/>
          <w:szCs w:val="20"/>
          <w:lang w:eastAsia="cs-CZ"/>
        </w:rPr>
        <w:t>tak k 30. 6. 2023 činil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6 463 588,93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CE680D9" w14:textId="77777777" w:rsidR="000C5210" w:rsidRDefault="000C5210" w:rsidP="00AD49D1">
      <w:pPr>
        <w:keepNext/>
        <w:spacing w:before="120" w:after="120"/>
        <w:ind w:left="36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E9DDFF" w14:textId="77777777" w:rsidR="000C5210" w:rsidRDefault="000C5210" w:rsidP="00AD49D1">
      <w:pPr>
        <w:keepNext/>
        <w:numPr>
          <w:ilvl w:val="0"/>
          <w:numId w:val="11"/>
        </w:numPr>
        <w:spacing w:before="120" w:after="12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Příjmy, výdaje a financování kraje</w:t>
      </w:r>
      <w:bookmarkEnd w:id="3"/>
    </w:p>
    <w:p w14:paraId="43F65F52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Údaje o plnění rozpočtu kraje vycházejí z účetních a finančních výkazů k datu 30. 6. 2023.</w:t>
      </w:r>
    </w:p>
    <w:p w14:paraId="5DB3A4E7" w14:textId="77777777" w:rsidR="000C5210" w:rsidRDefault="000C5210" w:rsidP="00AD49D1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4: Struktura a plnění příjmů a výdajů k 30. 6. 2023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0C5210" w14:paraId="5BB1EA5A" w14:textId="77777777" w:rsidTr="00AD49D1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CA2322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8B2BACD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</w:t>
            </w:r>
          </w:p>
          <w:p w14:paraId="1BB51015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C36C5A8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</w:t>
            </w:r>
          </w:p>
          <w:p w14:paraId="2C497135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888DA6B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552FFE61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30. 6. 2023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D3EC254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C5210" w14:paraId="73E3DB21" w14:textId="77777777" w:rsidTr="00AD49D1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7876BB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FBD5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8 635 470,00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EE762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8 635 470,00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F3FFE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4 108 633,57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6BF40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47,58</w:t>
            </w:r>
          </w:p>
        </w:tc>
      </w:tr>
      <w:tr w:rsidR="000C5210" w14:paraId="4EF6FD03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A7BE0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EEFA8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369 996,64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CCB1C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448 329,83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8CB2A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431 145,08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6C382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96,17</w:t>
            </w:r>
          </w:p>
        </w:tc>
      </w:tr>
      <w:tr w:rsidR="000C5210" w14:paraId="3E705F8D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552B10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1EFE4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A0AD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31 090,10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CABB8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2 992,19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49C64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9,62</w:t>
            </w:r>
          </w:p>
        </w:tc>
      </w:tr>
      <w:tr w:rsidR="000C5210" w14:paraId="76C33749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0E790A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66626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15 486 555,96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9A0D6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15 934 067,29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C143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10 686 387,90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FB5ED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67,07</w:t>
            </w:r>
          </w:p>
        </w:tc>
      </w:tr>
      <w:tr w:rsidR="000C5210" w14:paraId="68ACD740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2CE4D4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375DA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24 492 722,60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D0810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25 048 957,21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AF573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15 229 158,73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719FC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60,80</w:t>
            </w:r>
          </w:p>
        </w:tc>
      </w:tr>
      <w:tr w:rsidR="000C5210" w14:paraId="099DDCB5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CA9215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315AE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21 106 997,54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39D3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21 984 121,05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20059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12 475 266,54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41BDE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56,75</w:t>
            </w:r>
          </w:p>
        </w:tc>
      </w:tr>
      <w:tr w:rsidR="000C5210" w14:paraId="38FDA6DB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28C30E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FA58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4 736 489,16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D59A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5 129 230,20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40A18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1 224 389,74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412B0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23,87</w:t>
            </w:r>
          </w:p>
        </w:tc>
      </w:tr>
      <w:tr w:rsidR="000C5210" w14:paraId="24182B01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F6ECE2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A8554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25 843 486,70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9984B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27 113 351,25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4589A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13 699 656,29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7E063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50,53</w:t>
            </w:r>
          </w:p>
        </w:tc>
      </w:tr>
      <w:tr w:rsidR="000C5210" w14:paraId="23766B6F" w14:textId="77777777" w:rsidTr="00AD49D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69490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E31EE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-1 350 764,10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E343B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-2 064 394,03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7AD2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+1 529 502,44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2BDC1" w14:textId="77777777" w:rsidR="000C5210" w:rsidRDefault="000C521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-74,09</w:t>
            </w:r>
          </w:p>
        </w:tc>
      </w:tr>
    </w:tbl>
    <w:p w14:paraId="11043E65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Daňové příjmy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jsou tvořeny především daňovými výnosy, jejichž podíly vyplývají ze zákona o rozpočtovém určení daní a ze správních činností (tzn. včetně správních poplatků a licencí). K 30. 6. 2023 byly tyto příjmy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47,58 %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 výši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4 108 633,57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 Téměř celý objem těchto daňových příjmů (98,42 %) je tvořen příjmy ze sdílených daní, jejichž složení je blíže specifikováno v tabulce č. 5.</w:t>
      </w:r>
    </w:p>
    <w:p w14:paraId="6ADA5D97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Nedaňové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dosáhly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431 145,08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a k 30. 6. 2023 byly naplněny na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 96,17 %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56454CD6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Jejich výše byla dána zejména:</w:t>
      </w:r>
    </w:p>
    <w:p w14:paraId="3BA185A2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splátkami půjčených prostředků 135 168,12 tis. Kč,</w:t>
      </w:r>
    </w:p>
    <w:p w14:paraId="3E90742A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úroky 128 615,56 tis. Kč,</w:t>
      </w:r>
    </w:p>
    <w:p w14:paraId="46C540B4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odvody přebytků organizací s přímým vztahem 103 602,91 tis. Kč,</w:t>
      </w:r>
    </w:p>
    <w:p w14:paraId="1850243E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vratkami transferů a ostatními příjmy z finančního vypořádání 46 254,26 tis. Kč,</w:t>
      </w:r>
    </w:p>
    <w:p w14:paraId="558B12BF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neinvestičními příspěvky a náhradami 9 231,85 tis. Kč,</w:t>
      </w:r>
    </w:p>
    <w:p w14:paraId="535B1A61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sankčními platbami 4 752,23 tis. Kč,</w:t>
      </w:r>
    </w:p>
    <w:p w14:paraId="690FD1C7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pronájmu majetku 2 569,00 tis. Kč.</w:t>
      </w:r>
    </w:p>
    <w:p w14:paraId="1EEFB7A1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Kapitálové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2 992,19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tvořily především příjmy z prodeje pozemků a k 30. 6. 2023 byly naplněny na 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9,62 %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 Nenaplnění těchto příjmů je způsobeno rozpočtováním příjmu z prodeje Chaty Mládí (30 300,00 tis. Kč). Tento příjem bude kraji převeden ve druhém pololetí roku 2023.</w:t>
      </w:r>
    </w:p>
    <w:p w14:paraId="6D646A63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Přijaté transfery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10 686 387,90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2023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67,07 %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Rozhodující objem tvoří ostatní neinvestiční transfery ze státního rozpočtu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9 944 874,74 tis. 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, z nichž nejvyšší podíl představuje dotace MŠMT na přímé náklady na vzdělávání (7 622 651,81 tis. Kč). K dalším významným transferům, přijatým v 1. pololetí roku 2023, patří zejména neinvestiční dotace na sociální služby (1 656 328,85 tis. Kč).</w:t>
      </w:r>
    </w:p>
    <w:p w14:paraId="40523C12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Souhrn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daňových, nedaňových a kapitálových příjmů tvoří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vlastní příjmy kraje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, které k 30. 6. 2023 představují objem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4 542 770,84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Výrazně převažující částí (89,01 %) těchto vlastních příjmů jsou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příjmy ze sdílených 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4 043 544,87 tis. Kč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14:paraId="2DD74BCB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14:paraId="378368A3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14:paraId="47521067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</w:p>
    <w:p w14:paraId="324C1B6E" w14:textId="77777777" w:rsidR="000C5210" w:rsidRDefault="000C5210" w:rsidP="00AD49D1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Přehled 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příjmech z jednotlivých sdílených 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za 1. pololetí roku 2023 je zřejmý z následující tabulky:</w:t>
      </w:r>
    </w:p>
    <w:p w14:paraId="2CC526E6" w14:textId="77777777" w:rsidR="000C5210" w:rsidRDefault="000C5210" w:rsidP="00AD49D1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5: Příjmy ze sdílených daní k 30. 6. 2023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0C5210" w14:paraId="4DB41ECF" w14:textId="77777777" w:rsidTr="00AD49D1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2721A87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E705FC6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816E149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0CD6364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126AE42C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30. 6. 2023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9C034BE" w14:textId="77777777" w:rsidR="000C5210" w:rsidRDefault="000C52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C5210" w14:paraId="76CC023E" w14:textId="77777777" w:rsidTr="00AD49D1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0ED779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plátci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D027D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564D5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9F6AD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683 943,35    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926A3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48,85</w:t>
            </w:r>
          </w:p>
        </w:tc>
      </w:tr>
      <w:tr w:rsidR="000C5210" w14:paraId="086AE737" w14:textId="77777777" w:rsidTr="00AD49D1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F0C39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poplatníky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49863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6D1D9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D6167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22 753,87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E71A7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28,44</w:t>
            </w:r>
          </w:p>
        </w:tc>
      </w:tr>
      <w:tr w:rsidR="000C5210" w14:paraId="78F8CD1D" w14:textId="77777777" w:rsidTr="00AD49D1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F0C4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vybíraná srážkou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5432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D1E1B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8D8D5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158 128,03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35A37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58,57</w:t>
            </w:r>
          </w:p>
        </w:tc>
      </w:tr>
      <w:tr w:rsidR="000C5210" w14:paraId="0A52637E" w14:textId="77777777" w:rsidTr="00AD49D1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C944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DP právnických osob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34019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EC57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94908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933 976,18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38E98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47,90</w:t>
            </w:r>
          </w:p>
        </w:tc>
      </w:tr>
      <w:tr w:rsidR="000C5210" w14:paraId="12BBFE11" w14:textId="77777777" w:rsidTr="00AD49D1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F9F6F" w14:textId="77777777" w:rsidR="000C5210" w:rsidRDefault="000C521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423D0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ECF21" w14:textId="77777777" w:rsidR="000C5210" w:rsidRDefault="000C521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D2CD5" w14:textId="77777777" w:rsidR="000C5210" w:rsidRDefault="000C52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2 244 743,44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DCD5B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45,81</w:t>
            </w:r>
          </w:p>
        </w:tc>
      </w:tr>
      <w:tr w:rsidR="000C5210" w14:paraId="284CBC8B" w14:textId="77777777" w:rsidTr="00AD49D1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9C21" w14:textId="77777777" w:rsidR="000C5210" w:rsidRDefault="000C52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příjmy ze sdílených daní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8828B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4DF31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34CB2" w14:textId="77777777" w:rsidR="000C5210" w:rsidRDefault="000C521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4 043 544,87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1FFBD" w14:textId="77777777" w:rsidR="000C5210" w:rsidRDefault="000C5210">
            <w:pPr>
              <w:ind w:firstLine="20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47,02</w:t>
            </w:r>
          </w:p>
        </w:tc>
      </w:tr>
    </w:tbl>
    <w:p w14:paraId="22E9F3E5" w14:textId="77777777" w:rsidR="000C5210" w:rsidRDefault="000C5210" w:rsidP="00AD49D1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2: Podíl jednotlivých sdílených daní k 30. 6. 2023 (v tis. Kč) </w:t>
      </w:r>
    </w:p>
    <w:p w14:paraId="043E520A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noProof/>
        </w:rPr>
        <w:pict w14:anchorId="04101B16">
          <v:shape id="_x0000_i1031" type="#_x0000_t75" style="width:483pt;height:235.2pt;visibility:visible">
            <v:imagedata r:id="rId9" o:title=""/>
            <o:lock v:ext="edit" aspectratio="f"/>
          </v:shape>
        </w:pict>
      </w:r>
    </w:p>
    <w:p w14:paraId="65DE05CC" w14:textId="77777777" w:rsidR="000C5210" w:rsidRDefault="000C5210" w:rsidP="00AD49D1">
      <w:pPr>
        <w:spacing w:before="24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Běžné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12 475 266,54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2023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56,75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rozpočtu.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Nejvýznamnějšími výdajovými položkami byly:</w:t>
      </w:r>
    </w:p>
    <w:p w14:paraId="11915DD8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a jejich zřizovaným organizacím 5 000 957,52 tis. Kč,</w:t>
      </w:r>
    </w:p>
    <w:p w14:paraId="10C9EF2E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kraje 4 748 949,35 tis. Kč,</w:t>
      </w:r>
    </w:p>
    <w:p w14:paraId="2DE964AB" w14:textId="77777777" w:rsidR="000C5210" w:rsidRDefault="000C5210" w:rsidP="00AD49D1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včetně dopravní obslužnosti (právnické osoby, spolky, obecně prospěšné společnosti, neziskové organizace apod.) 1 755 079,75 tis. Kč,</w:t>
      </w:r>
    </w:p>
    <w:p w14:paraId="6DC7CD5C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výdaje a náhrady za nezpůsobenou újmu (náhrady za ubytování Ukrajinců) 210 562,58 tis. Kč,</w:t>
      </w:r>
    </w:p>
    <w:p w14:paraId="251E2913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platy, odměny a související odvody 184 199,69 tis. Kč,</w:t>
      </w:r>
    </w:p>
    <w:p w14:paraId="111A920D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služeb 71 951,28 tis. Kč,</w:t>
      </w:r>
    </w:p>
    <w:p w14:paraId="4361AF86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půjčené prostředky 70 313,72 tis. Kč,</w:t>
      </w:r>
    </w:p>
    <w:p w14:paraId="1597875E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(platba daní, poplatků, finanční vypořádání) 69 316,79 tis. Kč,</w:t>
      </w:r>
    </w:p>
    <w:p w14:paraId="7130D2E6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krajům (smlouvy o spolupráci) 34 589,25 tis. Kč,</w:t>
      </w:r>
    </w:p>
    <w:p w14:paraId="7917B2C5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dary a transfery obyvatelstvu 7 783,69 tis. Kč,</w:t>
      </w:r>
    </w:p>
    <w:p w14:paraId="1D321B17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do zahraničí 6 609,84 tis. Kč,</w:t>
      </w:r>
    </w:p>
    <w:p w14:paraId="26460E02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vody, paliv a energie 5 973,03 tis. Kč,</w:t>
      </w:r>
    </w:p>
    <w:p w14:paraId="68943598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materiálu 5 278,25 tis. Kč,</w:t>
      </w:r>
    </w:p>
    <w:p w14:paraId="18D90461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opravy a udržování 4 118,65 tis. Kč,</w:t>
      </w:r>
    </w:p>
    <w:p w14:paraId="5889AFE3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cestovné 1 544,77 tis. Kč,</w:t>
      </w:r>
    </w:p>
    <w:p w14:paraId="352D8F93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pohoštění 1 088,49 tis. Kč,</w:t>
      </w:r>
    </w:p>
    <w:p w14:paraId="2FE9DAC3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ostatní nákupy j. n. 1 080,65 tis. Kč,</w:t>
      </w:r>
    </w:p>
    <w:p w14:paraId="397A34F2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vysokým školám 1 052,50 tis. Kč.</w:t>
      </w:r>
    </w:p>
    <w:p w14:paraId="204DF40B" w14:textId="77777777" w:rsidR="000C5210" w:rsidRDefault="000C5210" w:rsidP="00AD49D1">
      <w:pPr>
        <w:ind w:left="77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9981273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1 224 389,74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2023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23,87 %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přičemž se jednalo o následující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</w:p>
    <w:p w14:paraId="0A08B86C" w14:textId="77777777" w:rsidR="000C5210" w:rsidRDefault="000C5210" w:rsidP="00AD49D1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pořízení dlouhodobého hmotného majetku 457 465,24 tis. Kč,</w:t>
      </w:r>
    </w:p>
    <w:p w14:paraId="0B97B744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akcií 167 000,00 tis. Kč,</w:t>
      </w:r>
    </w:p>
    <w:p w14:paraId="565E6FBD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151 574,15 tis. Kč,</w:t>
      </w:r>
    </w:p>
    <w:p w14:paraId="7FF17CCC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nepodnikajícím fyzickým osobám (Nová zelená úsporám) 148 981,00 tis. Kč,</w:t>
      </w:r>
    </w:p>
    <w:p w14:paraId="6E4DA7D3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148 177,99 tis. Kč,</w:t>
      </w:r>
    </w:p>
    <w:p w14:paraId="342C4476" w14:textId="77777777" w:rsidR="000C5210" w:rsidRDefault="000C5210" w:rsidP="00AD49D1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programového vybavení a ostatního dlouhodobého nehmotného majetku 124 120,99 tis. Kč,</w:t>
      </w:r>
    </w:p>
    <w:p w14:paraId="214B319E" w14:textId="77777777" w:rsidR="000C5210" w:rsidRDefault="000C5210" w:rsidP="00AD49D1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(fyzické a právnické osoby, spolky…) 15 482,25 tis. Kč,</w:t>
      </w:r>
    </w:p>
    <w:p w14:paraId="5CBB5091" w14:textId="77777777" w:rsidR="000C5210" w:rsidRDefault="000C5210" w:rsidP="00AD49D1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pozemky 10 984,15 tis. Kč.</w:t>
      </w:r>
    </w:p>
    <w:p w14:paraId="190EA02C" w14:textId="77777777" w:rsidR="000C5210" w:rsidRDefault="000C5210" w:rsidP="00AD49D1">
      <w:pPr>
        <w:ind w:left="70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1237520" w14:textId="77777777" w:rsidR="000C5210" w:rsidRDefault="000C5210" w:rsidP="00AD49D1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celkovém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3 904 840,46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představují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76,13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upraveného rozpočtu. </w:t>
      </w:r>
      <w:r>
        <w:rPr>
          <w:rFonts w:ascii="Arial" w:hAnsi="Arial" w:cs="Arial"/>
          <w:sz w:val="20"/>
          <w:szCs w:val="20"/>
          <w:lang w:eastAsia="cs-CZ"/>
        </w:rPr>
        <w:t>Jak již bylo uvedeno výše, jde pouze o časovou disproporci. Příčinou nižšího plnění kapitálových výdajů je v letošním roce především zpoždění realizace některých projektů spolufinancovaných z EU (IROP a IPRÚ) a dotačního titulu SFDI, z důvodů problémů při výběrových řízeních a problematiky dopravně inženýrských opatření. Dle harmonogramu realizace stavebních prací bude jejich fakturace probíhat zejména ve druhém pololetí, kdy budou stavební práce na jednotlivých akcích intenzivně probíhat. V období 09-12/2023 budou postupně některé akce dokončovány a finančně vyúčtovány. Jedná se zejména o výdaje na Jižní Tangentu České Budějovice - I. etapa, Východní obchvat Vlachova Březí, silnice II/144 a Přeložku silnice II/156, hráz rybníka Žár. Dále se to týká investičních transferů projektů škol a školských zařízení v rámci IROP, jejichž realizace byla předpokládána již v roce 2023, ale z důvodu nového programového období a na to navázané vyhlašování nových výzev pro podání žádostí o podporu, které v rámci IROP budou vyhlášeny až nyní na podzim letošního roku, dochází k posunu realizace těchto projektů na 2. pol. roku 2023 a do roku 2024. V případě kapitálových výdajů z vlastních zdrojů kraje půjde dále o investiční transfery zřízeným příspěvkovým organizacím (zejména oblast dopravy, školství a sociální péče) a transfery krajským nemocnicím. Patří sem také investiční příspěvky obcím, poskytované zejména v rámci dotačních programů kraje, kdy čerpání těchto příspěvků závisí na předání příslušných podkladů k vyúčtování.</w:t>
      </w:r>
    </w:p>
    <w:p w14:paraId="28512EDC" w14:textId="77777777" w:rsidR="000C5210" w:rsidRDefault="000C5210" w:rsidP="003B7A5A">
      <w:pPr>
        <w:pStyle w:val="KUJKnormal"/>
      </w:pPr>
    </w:p>
    <w:p w14:paraId="4D7F666B" w14:textId="77777777" w:rsidR="000C5210" w:rsidRDefault="000C5210" w:rsidP="003B7A5A">
      <w:pPr>
        <w:pStyle w:val="KUJKnormal"/>
      </w:pPr>
    </w:p>
    <w:p w14:paraId="2B88EF10" w14:textId="77777777" w:rsidR="000C5210" w:rsidRDefault="000C5210" w:rsidP="003B7A5A">
      <w:pPr>
        <w:pStyle w:val="KUJKnormal"/>
      </w:pPr>
      <w:r>
        <w:t>Finanční nároky a krytí: nejsou</w:t>
      </w:r>
    </w:p>
    <w:p w14:paraId="3F480AA2" w14:textId="77777777" w:rsidR="000C5210" w:rsidRDefault="000C5210" w:rsidP="003B7A5A">
      <w:pPr>
        <w:pStyle w:val="KUJKnormal"/>
      </w:pPr>
    </w:p>
    <w:p w14:paraId="49CCD02D" w14:textId="77777777" w:rsidR="000C5210" w:rsidRDefault="000C5210" w:rsidP="003B7A5A">
      <w:pPr>
        <w:pStyle w:val="KUJKnormal"/>
      </w:pPr>
    </w:p>
    <w:p w14:paraId="515B3AB1" w14:textId="77777777" w:rsidR="000C5210" w:rsidRDefault="000C5210" w:rsidP="003B7A5A">
      <w:pPr>
        <w:pStyle w:val="KUJKnormal"/>
      </w:pPr>
      <w:r>
        <w:t>Vyjádření správce rozpočtu: předkladatel je centrálním správcem rozpočtu</w:t>
      </w:r>
    </w:p>
    <w:p w14:paraId="33E78B2B" w14:textId="77777777" w:rsidR="000C5210" w:rsidRDefault="000C5210" w:rsidP="003B7A5A">
      <w:pPr>
        <w:pStyle w:val="KUJKnormal"/>
      </w:pPr>
    </w:p>
    <w:p w14:paraId="54D2B58E" w14:textId="77777777" w:rsidR="000C5210" w:rsidRDefault="000C5210" w:rsidP="003B7A5A">
      <w:pPr>
        <w:pStyle w:val="KUJKnormal"/>
      </w:pPr>
    </w:p>
    <w:p w14:paraId="328BE69F" w14:textId="77777777" w:rsidR="000C5210" w:rsidRDefault="000C5210" w:rsidP="003B7A5A">
      <w:pPr>
        <w:pStyle w:val="KUJKnormal"/>
      </w:pPr>
      <w:r>
        <w:t>Návrh projednán (stanoviska): materiál byl v totožné podobě projednán a vzat na vědomí Radu Jihočeského kraje na jednání dne 17. 8. 2023 usnesením č. 890/2023/RK-73 a dále byl předložen na 28. jednání Finančního výboru Zastupitelstva Jihočeského kraje dne 21. 9. 2023.</w:t>
      </w:r>
    </w:p>
    <w:p w14:paraId="3C1B3A07" w14:textId="77777777" w:rsidR="000C5210" w:rsidRDefault="000C5210" w:rsidP="003B7A5A">
      <w:pPr>
        <w:pStyle w:val="KUJKnormal"/>
      </w:pPr>
    </w:p>
    <w:p w14:paraId="7B8DF754" w14:textId="77777777" w:rsidR="000C5210" w:rsidRDefault="000C5210" w:rsidP="003B7A5A">
      <w:pPr>
        <w:pStyle w:val="KUJKnormal"/>
      </w:pPr>
    </w:p>
    <w:p w14:paraId="10565B16" w14:textId="77777777" w:rsidR="000C5210" w:rsidRDefault="000C5210" w:rsidP="003B7A5A">
      <w:pPr>
        <w:pStyle w:val="KUJKtucny"/>
      </w:pPr>
      <w:r w:rsidRPr="007939A8">
        <w:t>PŘÍLOHY:</w:t>
      </w:r>
    </w:p>
    <w:p w14:paraId="5BF12159" w14:textId="77777777" w:rsidR="000C5210" w:rsidRPr="00B52AA9" w:rsidRDefault="000C5210" w:rsidP="00F1405C">
      <w:pPr>
        <w:pStyle w:val="KUJKcislovany"/>
      </w:pPr>
      <w:r>
        <w:t>Bilance a přehled vybraných ukazatelů za 1. pololetí 2023</w:t>
      </w:r>
      <w:r w:rsidRPr="0081756D">
        <w:t xml:space="preserve"> (</w:t>
      </w:r>
      <w:r>
        <w:t>202306_sledovani_rozpoctu.pdf</w:t>
      </w:r>
      <w:r w:rsidRPr="0081756D">
        <w:t>)</w:t>
      </w:r>
    </w:p>
    <w:p w14:paraId="4C9942AD" w14:textId="77777777" w:rsidR="000C5210" w:rsidRDefault="000C5210" w:rsidP="008416BA">
      <w:pPr>
        <w:pStyle w:val="KUJKcislovany"/>
      </w:pPr>
      <w:r>
        <w:t>Výkaz pro hodnocení plnění rozpočtu územních samosprávných celků, dobrovolných svazků obcí a regionálních rad (Výkaz FIN 2-12M) za období 6/2023</w:t>
      </w:r>
      <w:r w:rsidRPr="0081756D">
        <w:t xml:space="preserve"> (</w:t>
      </w:r>
      <w:r>
        <w:t>Výkaz FIN 2-12M.pdf</w:t>
      </w:r>
      <w:r w:rsidRPr="0081756D">
        <w:t>)</w:t>
      </w:r>
      <w:r>
        <w:t xml:space="preserve"> – příloha je k dispozici, vzhledem k rozsahu, pouze v elektronické podobě</w:t>
      </w:r>
    </w:p>
    <w:p w14:paraId="2E9FBD8B" w14:textId="77777777" w:rsidR="000C5210" w:rsidRPr="00B52AA9" w:rsidRDefault="000C5210" w:rsidP="008416BA">
      <w:pPr>
        <w:pStyle w:val="KUJKcislovany"/>
        <w:numPr>
          <w:ilvl w:val="0"/>
          <w:numId w:val="0"/>
        </w:numPr>
      </w:pPr>
    </w:p>
    <w:p w14:paraId="4137370B" w14:textId="77777777" w:rsidR="000C5210" w:rsidRPr="00F1405C" w:rsidRDefault="000C5210" w:rsidP="00F1405C">
      <w:pPr>
        <w:pStyle w:val="KUJKnormal"/>
      </w:pPr>
    </w:p>
    <w:p w14:paraId="7E4767A6" w14:textId="77777777" w:rsidR="000C5210" w:rsidRDefault="000C5210" w:rsidP="003B7A5A">
      <w:pPr>
        <w:pStyle w:val="KUJKnormal"/>
      </w:pPr>
    </w:p>
    <w:p w14:paraId="14605686" w14:textId="77777777" w:rsidR="000C5210" w:rsidRDefault="000C5210" w:rsidP="003B7A5A">
      <w:pPr>
        <w:pStyle w:val="KUJKnormal"/>
      </w:pPr>
    </w:p>
    <w:p w14:paraId="4EE41909" w14:textId="77777777" w:rsidR="000C5210" w:rsidRPr="007C1EE7" w:rsidRDefault="000C5210" w:rsidP="003B7A5A">
      <w:pPr>
        <w:pStyle w:val="KUJKtucny"/>
      </w:pPr>
      <w:r w:rsidRPr="007C1EE7">
        <w:t>Zodpovídá:</w:t>
      </w:r>
      <w:r>
        <w:t xml:space="preserve"> </w:t>
      </w:r>
      <w:r w:rsidRPr="006554AC">
        <w:rPr>
          <w:b w:val="0"/>
        </w:rPr>
        <w:t>vedoucí OEKO - Ing. Ladislav Staněk</w:t>
      </w:r>
    </w:p>
    <w:p w14:paraId="1FA15D9E" w14:textId="77777777" w:rsidR="000C5210" w:rsidRDefault="000C5210" w:rsidP="003B7A5A">
      <w:pPr>
        <w:pStyle w:val="KUJKnormal"/>
      </w:pPr>
    </w:p>
    <w:p w14:paraId="0C9126BB" w14:textId="77777777" w:rsidR="000C5210" w:rsidRDefault="000C5210" w:rsidP="003B7A5A">
      <w:pPr>
        <w:pStyle w:val="KUJKnormal"/>
      </w:pPr>
      <w:r>
        <w:t>Termín kontroly: 21. 9. 2023</w:t>
      </w:r>
    </w:p>
    <w:p w14:paraId="37878D7B" w14:textId="77777777" w:rsidR="000C5210" w:rsidRDefault="000C5210" w:rsidP="003B7A5A">
      <w:pPr>
        <w:pStyle w:val="KUJKnormal"/>
      </w:pPr>
      <w:r>
        <w:t>Termín splnění: 21. 9. 2023</w:t>
      </w:r>
    </w:p>
    <w:p w14:paraId="664B6E57" w14:textId="77777777" w:rsidR="000C5210" w:rsidRDefault="000C521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63EF" w14:textId="77777777" w:rsidR="000C5210" w:rsidRDefault="000C5210" w:rsidP="000C5210">
    <w:r>
      <w:rPr>
        <w:noProof/>
      </w:rPr>
      <w:pict w14:anchorId="5E96AA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7C8E99" w14:textId="77777777" w:rsidR="000C5210" w:rsidRPr="005F485E" w:rsidRDefault="000C5210" w:rsidP="000C521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773E67" w14:textId="77777777" w:rsidR="000C5210" w:rsidRPr="005F485E" w:rsidRDefault="000C5210" w:rsidP="000C521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113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18BAD7" w14:textId="77777777" w:rsidR="000C5210" w:rsidRDefault="000C5210" w:rsidP="000C5210">
    <w:r>
      <w:pict w14:anchorId="117D6AF2">
        <v:rect id="_x0000_i1026" style="width:481.9pt;height:2pt" o:hralign="center" o:hrstd="t" o:hrnoshade="t" o:hr="t" fillcolor="black" stroked="f"/>
      </w:pict>
    </w:r>
  </w:p>
  <w:p w14:paraId="269FA350" w14:textId="77777777" w:rsidR="000C5210" w:rsidRPr="000C5210" w:rsidRDefault="000C5210" w:rsidP="000C5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ADDC7E9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2031">
    <w:abstractNumId w:val="2"/>
  </w:num>
  <w:num w:numId="2" w16cid:durableId="466317305">
    <w:abstractNumId w:val="3"/>
  </w:num>
  <w:num w:numId="3" w16cid:durableId="891579024">
    <w:abstractNumId w:val="10"/>
  </w:num>
  <w:num w:numId="4" w16cid:durableId="276523164">
    <w:abstractNumId w:val="8"/>
  </w:num>
  <w:num w:numId="5" w16cid:durableId="1083532729">
    <w:abstractNumId w:val="0"/>
  </w:num>
  <w:num w:numId="6" w16cid:durableId="531114063">
    <w:abstractNumId w:val="4"/>
  </w:num>
  <w:num w:numId="7" w16cid:durableId="1578710754">
    <w:abstractNumId w:val="7"/>
  </w:num>
  <w:num w:numId="8" w16cid:durableId="1078214107">
    <w:abstractNumId w:val="5"/>
  </w:num>
  <w:num w:numId="9" w16cid:durableId="189298186">
    <w:abstractNumId w:val="6"/>
  </w:num>
  <w:num w:numId="10" w16cid:durableId="2123841291">
    <w:abstractNumId w:val="9"/>
  </w:num>
  <w:num w:numId="11" w16cid:durableId="484249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535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52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C5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index.php/jihocesky-kraj/hospodareni-kra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2209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2023-09-22T07:32:00Z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6368525</vt:i4>
  </property>
  <property fmtid="{D5CDD505-2E9C-101B-9397-08002B2CF9AE}" pid="4" name="UlozitJako">
    <vt:lpwstr>C:\Users\mrazkova\AppData\Local\Temp\iU29006596\Zastupitelstvo\2023-09-21\Navrhy\287-ZK-23.</vt:lpwstr>
  </property>
  <property fmtid="{D5CDD505-2E9C-101B-9397-08002B2CF9AE}" pid="5" name="Zpracovat">
    <vt:bool>false</vt:bool>
  </property>
</Properties>
</file>