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113B5D" w14:paraId="784A80E2" w14:textId="77777777" w:rsidTr="00110C42">
        <w:trPr>
          <w:trHeight w:hRule="exact" w:val="397"/>
        </w:trPr>
        <w:tc>
          <w:tcPr>
            <w:tcW w:w="2376" w:type="dxa"/>
            <w:hideMark/>
          </w:tcPr>
          <w:p w14:paraId="00CC489B" w14:textId="77777777" w:rsidR="00113B5D" w:rsidRDefault="00113B5D" w:rsidP="00970720">
            <w:pPr>
              <w:pStyle w:val="KUJKtucny"/>
            </w:pPr>
            <w:r>
              <w:t>Datum jednání:</w:t>
            </w:r>
          </w:p>
        </w:tc>
        <w:tc>
          <w:tcPr>
            <w:tcW w:w="3828" w:type="dxa"/>
            <w:hideMark/>
          </w:tcPr>
          <w:p w14:paraId="380A1D34" w14:textId="77777777" w:rsidR="00113B5D" w:rsidRDefault="00113B5D" w:rsidP="00970720">
            <w:pPr>
              <w:pStyle w:val="KUJKnormal"/>
            </w:pPr>
            <w:r>
              <w:t>22. 06. 2023</w:t>
            </w:r>
          </w:p>
        </w:tc>
        <w:tc>
          <w:tcPr>
            <w:tcW w:w="2126" w:type="dxa"/>
            <w:hideMark/>
          </w:tcPr>
          <w:p w14:paraId="770F24E3" w14:textId="77777777" w:rsidR="00113B5D" w:rsidRDefault="00113B5D" w:rsidP="00970720">
            <w:pPr>
              <w:pStyle w:val="KUJKtucny"/>
            </w:pPr>
            <w:r>
              <w:t>Bod programu:</w:t>
            </w:r>
          </w:p>
        </w:tc>
        <w:tc>
          <w:tcPr>
            <w:tcW w:w="850" w:type="dxa"/>
          </w:tcPr>
          <w:p w14:paraId="1B070B55" w14:textId="77777777" w:rsidR="00113B5D" w:rsidRDefault="00113B5D" w:rsidP="00970720">
            <w:pPr>
              <w:pStyle w:val="KUJKnormal"/>
            </w:pPr>
          </w:p>
        </w:tc>
      </w:tr>
      <w:tr w:rsidR="00113B5D" w14:paraId="6662CFD3" w14:textId="77777777" w:rsidTr="00110C42">
        <w:trPr>
          <w:cantSplit/>
          <w:trHeight w:hRule="exact" w:val="397"/>
        </w:trPr>
        <w:tc>
          <w:tcPr>
            <w:tcW w:w="2376" w:type="dxa"/>
            <w:hideMark/>
          </w:tcPr>
          <w:p w14:paraId="5D3F6977" w14:textId="77777777" w:rsidR="00113B5D" w:rsidRDefault="00113B5D" w:rsidP="00970720">
            <w:pPr>
              <w:pStyle w:val="KUJKtucny"/>
            </w:pPr>
            <w:r>
              <w:t>Číslo návrhu:</w:t>
            </w:r>
          </w:p>
        </w:tc>
        <w:tc>
          <w:tcPr>
            <w:tcW w:w="6804" w:type="dxa"/>
            <w:gridSpan w:val="3"/>
            <w:hideMark/>
          </w:tcPr>
          <w:p w14:paraId="64BDF4BC" w14:textId="77777777" w:rsidR="00113B5D" w:rsidRDefault="00113B5D" w:rsidP="00970720">
            <w:pPr>
              <w:pStyle w:val="KUJKnormal"/>
            </w:pPr>
            <w:r>
              <w:t>255/ZK/23</w:t>
            </w:r>
          </w:p>
        </w:tc>
      </w:tr>
      <w:tr w:rsidR="00113B5D" w14:paraId="635CA158" w14:textId="77777777" w:rsidTr="00110C42">
        <w:trPr>
          <w:trHeight w:val="397"/>
        </w:trPr>
        <w:tc>
          <w:tcPr>
            <w:tcW w:w="2376" w:type="dxa"/>
          </w:tcPr>
          <w:p w14:paraId="77CBB155" w14:textId="77777777" w:rsidR="00113B5D" w:rsidRDefault="00113B5D" w:rsidP="00970720"/>
          <w:p w14:paraId="5C5F085B" w14:textId="77777777" w:rsidR="00113B5D" w:rsidRDefault="00113B5D" w:rsidP="00970720">
            <w:pPr>
              <w:pStyle w:val="KUJKtucny"/>
            </w:pPr>
            <w:r>
              <w:t>Název bodu:</w:t>
            </w:r>
          </w:p>
        </w:tc>
        <w:tc>
          <w:tcPr>
            <w:tcW w:w="6804" w:type="dxa"/>
            <w:gridSpan w:val="3"/>
          </w:tcPr>
          <w:p w14:paraId="44D07C46" w14:textId="77777777" w:rsidR="00113B5D" w:rsidRDefault="00113B5D" w:rsidP="00970720"/>
          <w:p w14:paraId="0D3C74E1" w14:textId="77777777" w:rsidR="00113B5D" w:rsidRDefault="00113B5D" w:rsidP="00970720">
            <w:pPr>
              <w:pStyle w:val="KUJKtucny"/>
              <w:rPr>
                <w:sz w:val="22"/>
                <w:szCs w:val="22"/>
              </w:rPr>
            </w:pPr>
            <w:r>
              <w:rPr>
                <w:sz w:val="22"/>
                <w:szCs w:val="22"/>
              </w:rPr>
              <w:t>Realizace projektu Obchvat města Kaplice, 2. etapa, silnice II/154 a jeho financování z rozpočtu Jihočeského kraje</w:t>
            </w:r>
          </w:p>
        </w:tc>
      </w:tr>
    </w:tbl>
    <w:p w14:paraId="73A6A35A" w14:textId="77777777" w:rsidR="00113B5D" w:rsidRDefault="00113B5D" w:rsidP="00110C42">
      <w:pPr>
        <w:pStyle w:val="KUJKnormal"/>
        <w:rPr>
          <w:b/>
          <w:bCs/>
        </w:rPr>
      </w:pPr>
      <w:r>
        <w:rPr>
          <w:b/>
          <w:bCs/>
        </w:rPr>
        <w:pict w14:anchorId="474A19CB">
          <v:rect id="_x0000_i1029" style="width:453.6pt;height:1.5pt" o:hralign="center" o:hrstd="t" o:hrnoshade="t" o:hr="t" fillcolor="black" stroked="f"/>
        </w:pict>
      </w:r>
    </w:p>
    <w:p w14:paraId="5AD5B399" w14:textId="77777777" w:rsidR="00113B5D" w:rsidRDefault="00113B5D" w:rsidP="00110C42">
      <w:pPr>
        <w:pStyle w:val="KUJKnormal"/>
      </w:pPr>
    </w:p>
    <w:p w14:paraId="5357D0D1" w14:textId="77777777" w:rsidR="00113B5D" w:rsidRDefault="00113B5D" w:rsidP="00110C42"/>
    <w:tbl>
      <w:tblPr>
        <w:tblW w:w="0" w:type="auto"/>
        <w:tblCellMar>
          <w:left w:w="70" w:type="dxa"/>
          <w:right w:w="70" w:type="dxa"/>
        </w:tblCellMar>
        <w:tblLook w:val="04A0" w:firstRow="1" w:lastRow="0" w:firstColumn="1" w:lastColumn="0" w:noHBand="0" w:noVBand="1"/>
      </w:tblPr>
      <w:tblGrid>
        <w:gridCol w:w="2350"/>
        <w:gridCol w:w="6862"/>
      </w:tblGrid>
      <w:tr w:rsidR="00113B5D" w14:paraId="76AF148C" w14:textId="77777777" w:rsidTr="002559B8">
        <w:trPr>
          <w:trHeight w:val="397"/>
        </w:trPr>
        <w:tc>
          <w:tcPr>
            <w:tcW w:w="2350" w:type="dxa"/>
            <w:hideMark/>
          </w:tcPr>
          <w:p w14:paraId="6AF2D2C4" w14:textId="77777777" w:rsidR="00113B5D" w:rsidRDefault="00113B5D" w:rsidP="002559B8">
            <w:pPr>
              <w:pStyle w:val="KUJKtucny"/>
            </w:pPr>
            <w:r>
              <w:t>Předkladatel:</w:t>
            </w:r>
          </w:p>
        </w:tc>
        <w:tc>
          <w:tcPr>
            <w:tcW w:w="6862" w:type="dxa"/>
          </w:tcPr>
          <w:p w14:paraId="008C982D" w14:textId="77777777" w:rsidR="00113B5D" w:rsidRDefault="00113B5D" w:rsidP="002559B8">
            <w:pPr>
              <w:pStyle w:val="KUJKnormal"/>
            </w:pPr>
            <w:r>
              <w:t>Ing. Tomáš Hajdušek</w:t>
            </w:r>
          </w:p>
          <w:p w14:paraId="2CB6AA46" w14:textId="77777777" w:rsidR="00113B5D" w:rsidRDefault="00113B5D" w:rsidP="002559B8"/>
        </w:tc>
      </w:tr>
      <w:tr w:rsidR="00113B5D" w14:paraId="79A968BE" w14:textId="77777777" w:rsidTr="002559B8">
        <w:trPr>
          <w:trHeight w:val="397"/>
        </w:trPr>
        <w:tc>
          <w:tcPr>
            <w:tcW w:w="2350" w:type="dxa"/>
          </w:tcPr>
          <w:p w14:paraId="35B43163" w14:textId="77777777" w:rsidR="00113B5D" w:rsidRDefault="00113B5D" w:rsidP="002559B8">
            <w:pPr>
              <w:pStyle w:val="KUJKtucny"/>
            </w:pPr>
            <w:r>
              <w:t>Zpracoval:</w:t>
            </w:r>
          </w:p>
          <w:p w14:paraId="5CD78233" w14:textId="77777777" w:rsidR="00113B5D" w:rsidRDefault="00113B5D" w:rsidP="002559B8"/>
        </w:tc>
        <w:tc>
          <w:tcPr>
            <w:tcW w:w="6862" w:type="dxa"/>
            <w:hideMark/>
          </w:tcPr>
          <w:p w14:paraId="52AAB332" w14:textId="77777777" w:rsidR="00113B5D" w:rsidRDefault="00113B5D" w:rsidP="002559B8">
            <w:pPr>
              <w:pStyle w:val="KUJKnormal"/>
            </w:pPr>
            <w:r>
              <w:t>ODSH</w:t>
            </w:r>
          </w:p>
        </w:tc>
      </w:tr>
      <w:tr w:rsidR="00113B5D" w14:paraId="6F24835A" w14:textId="77777777" w:rsidTr="002559B8">
        <w:trPr>
          <w:trHeight w:val="397"/>
        </w:trPr>
        <w:tc>
          <w:tcPr>
            <w:tcW w:w="2350" w:type="dxa"/>
          </w:tcPr>
          <w:p w14:paraId="73242A38" w14:textId="77777777" w:rsidR="00113B5D" w:rsidRPr="009715F9" w:rsidRDefault="00113B5D" w:rsidP="002559B8">
            <w:pPr>
              <w:pStyle w:val="KUJKnormal"/>
              <w:rPr>
                <w:b/>
              </w:rPr>
            </w:pPr>
            <w:r w:rsidRPr="009715F9">
              <w:rPr>
                <w:b/>
              </w:rPr>
              <w:t>Vedoucí odboru:</w:t>
            </w:r>
          </w:p>
          <w:p w14:paraId="4D74A772" w14:textId="77777777" w:rsidR="00113B5D" w:rsidRDefault="00113B5D" w:rsidP="002559B8"/>
        </w:tc>
        <w:tc>
          <w:tcPr>
            <w:tcW w:w="6862" w:type="dxa"/>
            <w:hideMark/>
          </w:tcPr>
          <w:p w14:paraId="0F48990F" w14:textId="77777777" w:rsidR="00113B5D" w:rsidRDefault="00113B5D" w:rsidP="002559B8">
            <w:pPr>
              <w:pStyle w:val="KUJKnormal"/>
            </w:pPr>
            <w:r>
              <w:t>JUDr. Andrea Tetourová</w:t>
            </w:r>
          </w:p>
        </w:tc>
      </w:tr>
    </w:tbl>
    <w:p w14:paraId="66D008A8" w14:textId="77777777" w:rsidR="00113B5D" w:rsidRDefault="00113B5D" w:rsidP="00110C42">
      <w:pPr>
        <w:pStyle w:val="KUJKnormal"/>
      </w:pPr>
    </w:p>
    <w:p w14:paraId="55E903B3" w14:textId="77777777" w:rsidR="00113B5D" w:rsidRPr="0052161F" w:rsidRDefault="00113B5D" w:rsidP="00110C42">
      <w:pPr>
        <w:pStyle w:val="KUJKtucny"/>
      </w:pPr>
      <w:r w:rsidRPr="0052161F">
        <w:t>NÁVRH USNESENÍ</w:t>
      </w:r>
    </w:p>
    <w:p w14:paraId="673FCEBB" w14:textId="77777777" w:rsidR="00113B5D" w:rsidRDefault="00113B5D" w:rsidP="00110C42">
      <w:pPr>
        <w:pStyle w:val="KUJKnormal"/>
        <w:rPr>
          <w:rFonts w:ascii="Calibri" w:hAnsi="Calibri" w:cs="Calibri"/>
          <w:sz w:val="12"/>
          <w:szCs w:val="12"/>
        </w:rPr>
      </w:pPr>
      <w:bookmarkStart w:id="0" w:name="US_ZaVeVeci"/>
      <w:bookmarkEnd w:id="0"/>
    </w:p>
    <w:p w14:paraId="15EABA92" w14:textId="77777777" w:rsidR="00113B5D" w:rsidRPr="00841DFC" w:rsidRDefault="00113B5D" w:rsidP="00110C42">
      <w:pPr>
        <w:pStyle w:val="KUJKPolozka"/>
      </w:pPr>
      <w:r w:rsidRPr="00841DFC">
        <w:t>Zastupitelstvo Jihočeského kraje</w:t>
      </w:r>
    </w:p>
    <w:p w14:paraId="69043653" w14:textId="77777777" w:rsidR="00113B5D" w:rsidRPr="00E10FE7" w:rsidRDefault="00113B5D" w:rsidP="00F5542C">
      <w:pPr>
        <w:pStyle w:val="KUJKdoplnek2"/>
      </w:pPr>
      <w:r w:rsidRPr="00AF7BAE">
        <w:t>schvaluje</w:t>
      </w:r>
    </w:p>
    <w:p w14:paraId="61A4EC56" w14:textId="77777777" w:rsidR="00113B5D" w:rsidRPr="00F5542C" w:rsidRDefault="00113B5D" w:rsidP="00F5542C">
      <w:pPr>
        <w:pStyle w:val="KUJKPolozka"/>
        <w:rPr>
          <w:b w:val="0"/>
          <w:bCs/>
        </w:rPr>
      </w:pPr>
      <w:r w:rsidRPr="00F5542C">
        <w:rPr>
          <w:b w:val="0"/>
          <w:bCs/>
        </w:rPr>
        <w:t>1. realizaci projektu Jihočeského kraje „Obchvat města Kaplice, 2. etapa, silnice II/154“ a jeho financování z rozpočtu Jihočeského kraje“ a podání žádosti o podporu do průběžné 21. výzvy Priorita 3 specifického cíle 3.1 Integrovaného regionálního operačního programu 2021-2027 (dále jen IROP 2021-2027) s celkovými výdaji ve výši 361 452 730,56 Kč vč. DPH, z toho způsobilými výdaji ve výši 330 031 748,76 Kč vč. DPH,</w:t>
      </w:r>
    </w:p>
    <w:p w14:paraId="0F0B8573" w14:textId="77777777" w:rsidR="00113B5D" w:rsidRPr="00F5542C" w:rsidRDefault="00113B5D" w:rsidP="00F5542C">
      <w:pPr>
        <w:pStyle w:val="KUJKPolozka"/>
        <w:rPr>
          <w:b w:val="0"/>
          <w:bCs/>
        </w:rPr>
      </w:pPr>
      <w:r w:rsidRPr="00F5542C">
        <w:rPr>
          <w:b w:val="0"/>
          <w:bCs/>
        </w:rPr>
        <w:t xml:space="preserve">2. kofinancování projektu ve výši 15 % ze způsobilých výdajů projektu, tj. 49 504 762,31 Kč vč. DPH, s podmínkou přidělení dotace z IROP 2021-2027 s čerpáním na základě Formuláře evropského projektu dle přílohy č. 1 návrhu č. </w:t>
      </w:r>
      <w:r>
        <w:rPr>
          <w:b w:val="0"/>
          <w:bCs/>
        </w:rPr>
        <w:t>255</w:t>
      </w:r>
      <w:r w:rsidRPr="00F5542C">
        <w:rPr>
          <w:b w:val="0"/>
          <w:bCs/>
        </w:rPr>
        <w:t>/</w:t>
      </w:r>
      <w:r>
        <w:rPr>
          <w:b w:val="0"/>
          <w:bCs/>
        </w:rPr>
        <w:t>Z</w:t>
      </w:r>
      <w:r w:rsidRPr="00F5542C">
        <w:rPr>
          <w:b w:val="0"/>
          <w:bCs/>
        </w:rPr>
        <w:t xml:space="preserve">K/23, </w:t>
      </w:r>
    </w:p>
    <w:p w14:paraId="480B36F6" w14:textId="77777777" w:rsidR="00113B5D" w:rsidRPr="00F5542C" w:rsidRDefault="00113B5D" w:rsidP="00F5542C">
      <w:pPr>
        <w:pStyle w:val="KUJKPolozka"/>
        <w:rPr>
          <w:b w:val="0"/>
          <w:bCs/>
        </w:rPr>
      </w:pPr>
      <w:r w:rsidRPr="00F5542C">
        <w:rPr>
          <w:b w:val="0"/>
          <w:bCs/>
        </w:rPr>
        <w:t xml:space="preserve">3. předfinancování projektu ve výši 85 % ze způsobilých výdajů projektu, tj. 280 526 986,45 Kč vč. DPH s podmínkou přidělení dotace z IROP 2021-2027 s čerpáním na základě Formuláře evropského projektu dle přílohy č. 1 návrhu č. </w:t>
      </w:r>
      <w:r>
        <w:rPr>
          <w:b w:val="0"/>
          <w:bCs/>
        </w:rPr>
        <w:t>255</w:t>
      </w:r>
      <w:r w:rsidRPr="00F5542C">
        <w:rPr>
          <w:b w:val="0"/>
          <w:bCs/>
        </w:rPr>
        <w:t>/</w:t>
      </w:r>
      <w:r>
        <w:rPr>
          <w:b w:val="0"/>
          <w:bCs/>
        </w:rPr>
        <w:t>Z</w:t>
      </w:r>
      <w:r w:rsidRPr="00F5542C">
        <w:rPr>
          <w:b w:val="0"/>
          <w:bCs/>
        </w:rPr>
        <w:t>K/23,</w:t>
      </w:r>
    </w:p>
    <w:p w14:paraId="71485F52" w14:textId="77777777" w:rsidR="00113B5D" w:rsidRPr="00F5542C" w:rsidRDefault="00113B5D" w:rsidP="00F5542C">
      <w:pPr>
        <w:pStyle w:val="KUJKPolozka"/>
        <w:rPr>
          <w:b w:val="0"/>
          <w:bCs/>
        </w:rPr>
      </w:pPr>
      <w:r w:rsidRPr="00F5542C">
        <w:rPr>
          <w:b w:val="0"/>
          <w:bCs/>
        </w:rPr>
        <w:t>4.</w:t>
      </w:r>
      <w:r w:rsidRPr="00F5542C">
        <w:rPr>
          <w:b w:val="0"/>
          <w:bCs/>
          <w:color w:val="FF0000"/>
        </w:rPr>
        <w:t xml:space="preserve"> </w:t>
      </w:r>
      <w:r w:rsidRPr="00F5542C">
        <w:rPr>
          <w:b w:val="0"/>
          <w:bCs/>
        </w:rPr>
        <w:t xml:space="preserve">financování nezpůsobilých výdajů projektu ve výši 31 420 981,80 Kč vč. DPH s čerpáním na základě Formuláře evropského projektu dle přílohy č. 1 návrhu č. </w:t>
      </w:r>
      <w:r>
        <w:rPr>
          <w:b w:val="0"/>
          <w:bCs/>
        </w:rPr>
        <w:t>255</w:t>
      </w:r>
      <w:r w:rsidRPr="00F5542C">
        <w:rPr>
          <w:b w:val="0"/>
          <w:bCs/>
        </w:rPr>
        <w:t>/</w:t>
      </w:r>
      <w:r>
        <w:rPr>
          <w:b w:val="0"/>
          <w:bCs/>
        </w:rPr>
        <w:t>Z</w:t>
      </w:r>
      <w:r w:rsidRPr="00F5542C">
        <w:rPr>
          <w:b w:val="0"/>
          <w:bCs/>
        </w:rPr>
        <w:t>K/23;</w:t>
      </w:r>
    </w:p>
    <w:p w14:paraId="007DB279" w14:textId="77777777" w:rsidR="00113B5D" w:rsidRDefault="00113B5D" w:rsidP="00113B5D">
      <w:pPr>
        <w:pStyle w:val="KUJKdoplnek2"/>
        <w:numPr>
          <w:ilvl w:val="1"/>
          <w:numId w:val="11"/>
        </w:numPr>
      </w:pPr>
      <w:r w:rsidRPr="0021676C">
        <w:t>ukládá</w:t>
      </w:r>
    </w:p>
    <w:p w14:paraId="71346BCD" w14:textId="77777777" w:rsidR="00113B5D" w:rsidRPr="00A33E61" w:rsidRDefault="00113B5D" w:rsidP="00113B5D">
      <w:pPr>
        <w:pStyle w:val="KUJKPolozka"/>
        <w:numPr>
          <w:ilvl w:val="0"/>
          <w:numId w:val="11"/>
        </w:numPr>
        <w:rPr>
          <w:b w:val="0"/>
          <w:bCs/>
        </w:rPr>
      </w:pPr>
      <w:r w:rsidRPr="0021465E">
        <w:rPr>
          <w:b w:val="0"/>
          <w:bCs/>
        </w:rPr>
        <w:t>JUDr. Lukášovi Glaserovi</w:t>
      </w:r>
      <w:r>
        <w:t xml:space="preserve">, </w:t>
      </w:r>
      <w:r w:rsidRPr="00A33E61">
        <w:rPr>
          <w:b w:val="0"/>
          <w:bCs/>
        </w:rPr>
        <w:t>řediteli krajského úřadu, zajistit realizaci uvedeného usnesení.</w:t>
      </w:r>
    </w:p>
    <w:p w14:paraId="031878E2" w14:textId="77777777" w:rsidR="00113B5D" w:rsidRPr="00A33E61" w:rsidRDefault="00113B5D" w:rsidP="00113B5D">
      <w:pPr>
        <w:pStyle w:val="KUJKPolozka"/>
        <w:numPr>
          <w:ilvl w:val="0"/>
          <w:numId w:val="11"/>
        </w:numPr>
        <w:rPr>
          <w:b w:val="0"/>
          <w:bCs/>
        </w:rPr>
      </w:pPr>
      <w:r w:rsidRPr="00A33E61">
        <w:rPr>
          <w:b w:val="0"/>
          <w:bCs/>
        </w:rPr>
        <w:t>T: 31.12.2025</w:t>
      </w:r>
    </w:p>
    <w:p w14:paraId="5CE23A36" w14:textId="77777777" w:rsidR="00113B5D" w:rsidRDefault="00113B5D" w:rsidP="00110C42">
      <w:pPr>
        <w:pStyle w:val="KUJKnormal"/>
      </w:pPr>
    </w:p>
    <w:p w14:paraId="6DE007BA" w14:textId="77777777" w:rsidR="00113B5D" w:rsidRDefault="00113B5D" w:rsidP="000C66C7">
      <w:pPr>
        <w:pStyle w:val="KUJKmezeraDZ"/>
      </w:pPr>
      <w:r>
        <w:t xml:space="preserve"> </w:t>
      </w:r>
      <w:bookmarkStart w:id="1" w:name="US_DuvodZprava"/>
      <w:bookmarkEnd w:id="1"/>
    </w:p>
    <w:p w14:paraId="469560CF" w14:textId="77777777" w:rsidR="00113B5D" w:rsidRDefault="00113B5D" w:rsidP="000C66C7">
      <w:pPr>
        <w:pStyle w:val="KUJKnadpisDZ"/>
      </w:pPr>
      <w:r>
        <w:t>DŮVODOVÁ ZPRÁVA</w:t>
      </w:r>
    </w:p>
    <w:p w14:paraId="6BAFB0F3" w14:textId="77777777" w:rsidR="00113B5D" w:rsidRPr="009B7B0B" w:rsidRDefault="00113B5D" w:rsidP="000C66C7">
      <w:pPr>
        <w:pStyle w:val="KUJKmezeraDZ"/>
      </w:pPr>
    </w:p>
    <w:p w14:paraId="4E244C9E" w14:textId="77777777" w:rsidR="00113B5D" w:rsidRDefault="00113B5D" w:rsidP="0061429B">
      <w:pPr>
        <w:pStyle w:val="KUJKnormal"/>
      </w:pPr>
      <w:r>
        <w:rPr>
          <w:rFonts w:eastAsia="Times New Roman"/>
        </w:rPr>
        <w:t>Jihočeský kraj prostřednictvím odboru ODSH předpokládá předložení projektové žádosti do 21. výzvy IROP 2021-2027 v měsíci září 2023.</w:t>
      </w:r>
    </w:p>
    <w:p w14:paraId="619C2A6E" w14:textId="77777777" w:rsidR="00113B5D" w:rsidRDefault="00113B5D" w:rsidP="0061429B">
      <w:pPr>
        <w:pStyle w:val="KUJKnormal"/>
        <w:rPr>
          <w:rFonts w:eastAsia="Times New Roman"/>
        </w:rPr>
      </w:pPr>
    </w:p>
    <w:p w14:paraId="3F14A06B" w14:textId="77777777" w:rsidR="00113B5D" w:rsidRDefault="00113B5D" w:rsidP="0061429B">
      <w:pPr>
        <w:jc w:val="both"/>
        <w:rPr>
          <w:rFonts w:ascii="Arial" w:hAnsi="Arial" w:cs="Arial"/>
          <w:sz w:val="20"/>
          <w:szCs w:val="20"/>
        </w:rPr>
      </w:pPr>
      <w:r>
        <w:rPr>
          <w:rFonts w:ascii="Arial" w:hAnsi="Arial"/>
          <w:sz w:val="20"/>
          <w:szCs w:val="28"/>
        </w:rPr>
        <w:t xml:space="preserve">Projekt představuje </w:t>
      </w:r>
      <w:r>
        <w:rPr>
          <w:rFonts w:ascii="Arial" w:hAnsi="Arial" w:cs="Arial"/>
          <w:sz w:val="20"/>
          <w:szCs w:val="20"/>
        </w:rPr>
        <w:t>novostavbu přeložky silnice II/154 v podobě obchvatu obce Kaplice v rámci 2. etapy, a to o celkové délce trasy 1,619 km.  1. etapa byla realizována v letech 2013-2014. Silnice II/154 je navržena v kategorii S 7,5/70. Nová silnice bude dvoupruhová s navrhovanou rychlostí 70 km/hod. Šířka jízdního pruhu bude 3 metry. Ve stoupání za mostem přes řeku Malši směrem na obec Blansko je plánován přídavný stoupací pruh. Na svém začátku obchvat prochází okolo průmyslové zóny při ulici Pohorská, dále je veden rekreační oblastí. Prochází mezi koupalištěm a sportovištěm, poté vede podél zahradní kolonie a před obcí Blansko se napojí na stávající komunikaci. Vlivem výstavby obchvatu bude sportoviště s fotbalovým hřištěm, přemístěno v řádu desítek metrů. Součástí obchvatu jsou také 2 mostní objekty, které zajistí mimoúrovňové křížení se stávající silnicí II/158 a řekou Malší. Dále se jedná o přeložky účelových a přístupových komunikací, vodohospodářské objekty, přeložky dotčených inženýrských sítí a vybudování protihlukových stěn. Začátek úseku navazuje na obchvat města Kaplice – I. etapa. Konec úseku je situován na začátek obce Blansko, kde je obchvat ukončen dopravním ostrůvkem s vychýlením obou směrů. Tato 2. etapa obchvatu města dokončí kompletní obchvat města Kaplice, díky čemuž dojde ke snížení intenzit především těžké nákladní dopravy, která v současné době projíždí skrz historické centrum města Kaplice.</w:t>
      </w:r>
    </w:p>
    <w:p w14:paraId="155AF646" w14:textId="77777777" w:rsidR="00113B5D" w:rsidRDefault="00113B5D" w:rsidP="0061429B">
      <w:pPr>
        <w:jc w:val="both"/>
        <w:rPr>
          <w:rFonts w:ascii="Arial" w:hAnsi="Arial" w:cs="Arial"/>
          <w:sz w:val="20"/>
          <w:szCs w:val="20"/>
        </w:rPr>
      </w:pPr>
    </w:p>
    <w:p w14:paraId="5DA6A741" w14:textId="77777777" w:rsidR="00113B5D" w:rsidRDefault="00113B5D" w:rsidP="0061429B">
      <w:pPr>
        <w:jc w:val="both"/>
        <w:rPr>
          <w:rFonts w:ascii="Arial" w:hAnsi="Arial" w:cs="Arial"/>
          <w:sz w:val="20"/>
          <w:szCs w:val="20"/>
          <w:highlight w:val="yellow"/>
        </w:rPr>
      </w:pPr>
    </w:p>
    <w:p w14:paraId="5D6B61EC" w14:textId="77777777" w:rsidR="00113B5D" w:rsidRDefault="00113B5D" w:rsidP="0061429B">
      <w:pPr>
        <w:pStyle w:val="Prosttext"/>
        <w:jc w:val="both"/>
        <w:rPr>
          <w:rFonts w:ascii="Arial" w:hAnsi="Arial" w:cs="Arial"/>
          <w:bCs/>
          <w:sz w:val="20"/>
          <w:szCs w:val="20"/>
        </w:rPr>
      </w:pPr>
      <w:r>
        <w:rPr>
          <w:rFonts w:ascii="Arial" w:hAnsi="Arial" w:cs="Arial"/>
          <w:bCs/>
          <w:sz w:val="20"/>
          <w:szCs w:val="20"/>
        </w:rPr>
        <w:t xml:space="preserve">Způsobilé výdaje projektu v celkové výši </w:t>
      </w:r>
      <w:r>
        <w:rPr>
          <w:rFonts w:ascii="Arial" w:hAnsi="Arial" w:cs="Arial"/>
          <w:b/>
          <w:sz w:val="20"/>
          <w:szCs w:val="20"/>
        </w:rPr>
        <w:t>330 031 748,76</w:t>
      </w:r>
      <w:r>
        <w:rPr>
          <w:rFonts w:ascii="Arial" w:hAnsi="Arial" w:cs="Arial"/>
          <w:bCs/>
          <w:sz w:val="20"/>
          <w:szCs w:val="20"/>
        </w:rPr>
        <w:t xml:space="preserve"> Kč s DPH přestavují částku za stavební práce ve výši </w:t>
      </w:r>
      <w:r>
        <w:rPr>
          <w:rFonts w:ascii="Arial" w:hAnsi="Arial" w:cs="Arial"/>
          <w:b/>
          <w:i/>
          <w:iCs/>
          <w:sz w:val="20"/>
          <w:szCs w:val="20"/>
        </w:rPr>
        <w:t>264 449 748,76</w:t>
      </w:r>
      <w:r>
        <w:rPr>
          <w:rFonts w:ascii="Arial" w:hAnsi="Arial" w:cs="Arial"/>
          <w:bCs/>
          <w:sz w:val="20"/>
          <w:szCs w:val="20"/>
        </w:rPr>
        <w:t xml:space="preserve"> Kč vč. DPH, částku za možné vícepráce ve výši </w:t>
      </w:r>
      <w:r>
        <w:rPr>
          <w:rFonts w:ascii="Arial" w:hAnsi="Arial" w:cs="Arial"/>
          <w:b/>
          <w:i/>
          <w:iCs/>
          <w:sz w:val="20"/>
          <w:szCs w:val="20"/>
        </w:rPr>
        <w:t>60 500 000,00</w:t>
      </w:r>
      <w:r>
        <w:rPr>
          <w:rFonts w:ascii="Arial" w:hAnsi="Arial" w:cs="Arial"/>
          <w:bCs/>
          <w:sz w:val="20"/>
          <w:szCs w:val="20"/>
        </w:rPr>
        <w:t xml:space="preserve"> Kč s DPH, částku za výkony technického dozoru stavebníka ve výši </w:t>
      </w:r>
      <w:r>
        <w:rPr>
          <w:rFonts w:ascii="Arial" w:hAnsi="Arial" w:cs="Arial"/>
          <w:b/>
          <w:i/>
          <w:iCs/>
          <w:sz w:val="20"/>
          <w:szCs w:val="20"/>
        </w:rPr>
        <w:t>3 025 000,00</w:t>
      </w:r>
      <w:r>
        <w:rPr>
          <w:rFonts w:ascii="Arial" w:hAnsi="Arial" w:cs="Arial"/>
          <w:bCs/>
          <w:sz w:val="20"/>
          <w:szCs w:val="20"/>
        </w:rPr>
        <w:t xml:space="preserve"> Kč s DPH, částku za koordinátora BOZP ve výši </w:t>
      </w:r>
      <w:r>
        <w:rPr>
          <w:rFonts w:ascii="Arial" w:hAnsi="Arial" w:cs="Arial"/>
          <w:b/>
          <w:i/>
          <w:iCs/>
          <w:sz w:val="20"/>
          <w:szCs w:val="20"/>
        </w:rPr>
        <w:t>726 000,00</w:t>
      </w:r>
      <w:r>
        <w:rPr>
          <w:rFonts w:ascii="Arial" w:hAnsi="Arial" w:cs="Arial"/>
          <w:bCs/>
          <w:sz w:val="20"/>
          <w:szCs w:val="20"/>
        </w:rPr>
        <w:t xml:space="preserve"> Kč vč. DPH, částku za ekologický dozor ve výši </w:t>
      </w:r>
      <w:r>
        <w:rPr>
          <w:rFonts w:ascii="Arial" w:hAnsi="Arial" w:cs="Arial"/>
          <w:b/>
          <w:i/>
          <w:iCs/>
          <w:sz w:val="20"/>
          <w:szCs w:val="20"/>
        </w:rPr>
        <w:t>726 000,00</w:t>
      </w:r>
      <w:r>
        <w:rPr>
          <w:rFonts w:ascii="Arial" w:hAnsi="Arial" w:cs="Arial"/>
          <w:bCs/>
          <w:sz w:val="20"/>
          <w:szCs w:val="20"/>
        </w:rPr>
        <w:t xml:space="preserve"> Kč s DPH, částku za archeologický dozor ve výši </w:t>
      </w:r>
      <w:r>
        <w:rPr>
          <w:rFonts w:ascii="Arial" w:hAnsi="Arial" w:cs="Arial"/>
          <w:b/>
          <w:i/>
          <w:iCs/>
          <w:sz w:val="20"/>
          <w:szCs w:val="20"/>
        </w:rPr>
        <w:t>302 500,00</w:t>
      </w:r>
      <w:r>
        <w:rPr>
          <w:rFonts w:ascii="Arial" w:hAnsi="Arial" w:cs="Arial"/>
          <w:bCs/>
          <w:sz w:val="20"/>
          <w:szCs w:val="20"/>
        </w:rPr>
        <w:t xml:space="preserve"> Kč s DPH, částku za klimatický audit ve výši </w:t>
      </w:r>
      <w:r>
        <w:rPr>
          <w:rFonts w:ascii="Arial" w:hAnsi="Arial" w:cs="Arial"/>
          <w:b/>
          <w:i/>
          <w:iCs/>
          <w:sz w:val="20"/>
          <w:szCs w:val="20"/>
        </w:rPr>
        <w:t>181 500,00</w:t>
      </w:r>
      <w:r>
        <w:rPr>
          <w:rFonts w:ascii="Arial" w:hAnsi="Arial" w:cs="Arial"/>
          <w:bCs/>
          <w:sz w:val="20"/>
          <w:szCs w:val="20"/>
        </w:rPr>
        <w:t xml:space="preserve"> Kč s DPH a částku za zpracovatele žádosti včetně studie proveditelnosti ve výši </w:t>
      </w:r>
      <w:r>
        <w:rPr>
          <w:rFonts w:ascii="Arial" w:hAnsi="Arial" w:cs="Arial"/>
          <w:b/>
          <w:i/>
          <w:iCs/>
          <w:sz w:val="20"/>
          <w:szCs w:val="20"/>
        </w:rPr>
        <w:t>121 000,00</w:t>
      </w:r>
      <w:r>
        <w:rPr>
          <w:rFonts w:ascii="Arial" w:hAnsi="Arial" w:cs="Arial"/>
          <w:bCs/>
          <w:sz w:val="20"/>
          <w:szCs w:val="20"/>
        </w:rPr>
        <w:t xml:space="preserve"> Kč s DPH. </w:t>
      </w:r>
      <w:r>
        <w:rPr>
          <w:rFonts w:ascii="Arial" w:hAnsi="Arial" w:cs="Arial"/>
          <w:b/>
          <w:sz w:val="20"/>
          <w:szCs w:val="20"/>
        </w:rPr>
        <w:t>Všechny částky za výše uvedené výdaje jsou částkami předpokládanými. Skutečné částky budou známy po realizaci zadávacích řízení nejpozději v prosinci letošního roku.</w:t>
      </w:r>
      <w:r>
        <w:rPr>
          <w:rFonts w:ascii="Arial" w:hAnsi="Arial" w:cs="Arial"/>
          <w:bCs/>
          <w:sz w:val="20"/>
          <w:szCs w:val="20"/>
        </w:rPr>
        <w:t xml:space="preserve"> Nezpůsobilé výdaje v celkové výši </w:t>
      </w:r>
      <w:r>
        <w:rPr>
          <w:rFonts w:ascii="Arial" w:hAnsi="Arial" w:cs="Arial"/>
          <w:b/>
          <w:sz w:val="20"/>
          <w:szCs w:val="20"/>
        </w:rPr>
        <w:t>31 420 981,80</w:t>
      </w:r>
      <w:r>
        <w:rPr>
          <w:rFonts w:ascii="Arial" w:hAnsi="Arial" w:cs="Arial"/>
          <w:bCs/>
          <w:sz w:val="20"/>
          <w:szCs w:val="20"/>
        </w:rPr>
        <w:t xml:space="preserve"> Kč s DPH představují částku za překládky E.On ve výši </w:t>
      </w:r>
      <w:r>
        <w:rPr>
          <w:rFonts w:ascii="Arial" w:hAnsi="Arial" w:cs="Arial"/>
          <w:b/>
          <w:i/>
          <w:iCs/>
          <w:sz w:val="20"/>
          <w:szCs w:val="20"/>
        </w:rPr>
        <w:t>6 397 738,00</w:t>
      </w:r>
      <w:r>
        <w:rPr>
          <w:rFonts w:ascii="Arial" w:hAnsi="Arial" w:cs="Arial"/>
          <w:bCs/>
          <w:sz w:val="20"/>
          <w:szCs w:val="20"/>
        </w:rPr>
        <w:t xml:space="preserve"> Kč vč. DPH, částku za projektovou dokumentaci ve výši </w:t>
      </w:r>
      <w:r>
        <w:rPr>
          <w:rFonts w:ascii="Arial" w:hAnsi="Arial" w:cs="Arial"/>
          <w:b/>
          <w:i/>
          <w:iCs/>
          <w:sz w:val="20"/>
          <w:szCs w:val="20"/>
        </w:rPr>
        <w:t>6 750 541,80</w:t>
      </w:r>
      <w:r>
        <w:rPr>
          <w:rFonts w:ascii="Arial" w:hAnsi="Arial" w:cs="Arial"/>
          <w:bCs/>
          <w:sz w:val="20"/>
          <w:szCs w:val="20"/>
        </w:rPr>
        <w:t xml:space="preserve"> Kč s DPH, částku za výkupy pozemků ve výši </w:t>
      </w:r>
      <w:r>
        <w:rPr>
          <w:rFonts w:ascii="Arial" w:hAnsi="Arial" w:cs="Arial"/>
          <w:b/>
          <w:i/>
          <w:iCs/>
          <w:sz w:val="20"/>
          <w:szCs w:val="20"/>
        </w:rPr>
        <w:t>17 627 502,00</w:t>
      </w:r>
      <w:r>
        <w:rPr>
          <w:rFonts w:ascii="Arial" w:hAnsi="Arial" w:cs="Arial"/>
          <w:bCs/>
          <w:sz w:val="20"/>
          <w:szCs w:val="20"/>
        </w:rPr>
        <w:t xml:space="preserve"> Kč s DPH, částku za nájmy pozemků v dočasném záboru ve výši </w:t>
      </w:r>
      <w:r>
        <w:rPr>
          <w:rFonts w:ascii="Arial" w:hAnsi="Arial" w:cs="Arial"/>
          <w:b/>
          <w:i/>
          <w:iCs/>
          <w:sz w:val="20"/>
          <w:szCs w:val="20"/>
        </w:rPr>
        <w:t>500 000,00</w:t>
      </w:r>
      <w:r>
        <w:rPr>
          <w:rFonts w:ascii="Arial" w:hAnsi="Arial" w:cs="Arial"/>
          <w:bCs/>
          <w:sz w:val="20"/>
          <w:szCs w:val="20"/>
        </w:rPr>
        <w:t xml:space="preserve"> Kč s DPH a částku za překládku sítě Vodafon ve výši </w:t>
      </w:r>
      <w:r>
        <w:rPr>
          <w:rFonts w:ascii="Arial" w:hAnsi="Arial" w:cs="Arial"/>
          <w:b/>
          <w:i/>
          <w:iCs/>
          <w:sz w:val="20"/>
          <w:szCs w:val="20"/>
        </w:rPr>
        <w:t>145 200,00</w:t>
      </w:r>
      <w:r>
        <w:rPr>
          <w:rFonts w:ascii="Arial" w:hAnsi="Arial" w:cs="Arial"/>
          <w:bCs/>
          <w:sz w:val="20"/>
          <w:szCs w:val="20"/>
        </w:rPr>
        <w:t xml:space="preserve"> Kč s DPH.</w:t>
      </w:r>
    </w:p>
    <w:p w14:paraId="7B98777E" w14:textId="77777777" w:rsidR="00113B5D" w:rsidRDefault="00113B5D" w:rsidP="00110C42">
      <w:pPr>
        <w:pStyle w:val="KUJKnormal"/>
      </w:pPr>
    </w:p>
    <w:p w14:paraId="232D1808" w14:textId="77777777" w:rsidR="00113B5D" w:rsidRDefault="00113B5D" w:rsidP="00110C42">
      <w:pPr>
        <w:pStyle w:val="KUJKnormal"/>
      </w:pPr>
      <w:r>
        <w:t xml:space="preserve">Obsah toto materiálu byl projednán v radě kraje dne 8.6.2023 pod č. usnesení </w:t>
      </w:r>
      <w:r w:rsidRPr="0007093D">
        <w:t>727/2023/RK-69</w:t>
      </w:r>
      <w:r>
        <w:t>.</w:t>
      </w:r>
    </w:p>
    <w:p w14:paraId="13FFBD1B" w14:textId="77777777" w:rsidR="00113B5D" w:rsidRDefault="00113B5D" w:rsidP="00110C42">
      <w:pPr>
        <w:pStyle w:val="KUJKnormal"/>
      </w:pPr>
    </w:p>
    <w:p w14:paraId="55067240" w14:textId="77777777" w:rsidR="00113B5D" w:rsidRDefault="00113B5D" w:rsidP="00110C42">
      <w:pPr>
        <w:pStyle w:val="KUJKnormal"/>
      </w:pPr>
    </w:p>
    <w:p w14:paraId="7359D8FD" w14:textId="77777777" w:rsidR="00113B5D" w:rsidRDefault="00113B5D" w:rsidP="00110C42">
      <w:pPr>
        <w:pStyle w:val="KUJKnormal"/>
      </w:pPr>
      <w:r>
        <w:t>Finanční nároky a krytí:</w:t>
      </w:r>
    </w:p>
    <w:p w14:paraId="58E656A6" w14:textId="77777777" w:rsidR="00113B5D" w:rsidRDefault="00113B5D" w:rsidP="0061429B">
      <w:pPr>
        <w:pStyle w:val="KUJKnormal"/>
        <w:rPr>
          <w:szCs w:val="20"/>
        </w:rPr>
      </w:pPr>
      <w:r>
        <w:t xml:space="preserve">Celkové výdaje projektu činí </w:t>
      </w:r>
      <w:r>
        <w:rPr>
          <w:b/>
          <w:bCs/>
        </w:rPr>
        <w:t>36</w:t>
      </w:r>
      <w:r>
        <w:rPr>
          <w:b/>
        </w:rPr>
        <w:t>1</w:t>
      </w:r>
      <w:r>
        <w:t> </w:t>
      </w:r>
      <w:r>
        <w:rPr>
          <w:b/>
        </w:rPr>
        <w:t>452</w:t>
      </w:r>
      <w:r>
        <w:t> </w:t>
      </w:r>
      <w:r>
        <w:rPr>
          <w:b/>
        </w:rPr>
        <w:t>730</w:t>
      </w:r>
      <w:r>
        <w:t>,</w:t>
      </w:r>
      <w:r>
        <w:rPr>
          <w:b/>
        </w:rPr>
        <w:t>56</w:t>
      </w:r>
      <w:r>
        <w:t xml:space="preserve"> Kč (bude poskytnuta z ORJ 20 – Strukturální fondy EU– Strukturální fondy EU - §2212, pol. 6909, ORJ 2068, ORG 1491003900001), z toho: </w:t>
      </w:r>
    </w:p>
    <w:p w14:paraId="1796F826" w14:textId="77777777" w:rsidR="00113B5D" w:rsidRDefault="00113B5D" w:rsidP="0061429B">
      <w:pPr>
        <w:pStyle w:val="KUJKnormal"/>
      </w:pPr>
      <w:r>
        <w:t>- částka způsobilých výdajů ve výši 3</w:t>
      </w:r>
      <w:r>
        <w:rPr>
          <w:b/>
        </w:rPr>
        <w:t>3</w:t>
      </w:r>
      <w:r>
        <w:t>0 </w:t>
      </w:r>
      <w:r>
        <w:rPr>
          <w:b/>
        </w:rPr>
        <w:t>031</w:t>
      </w:r>
      <w:r>
        <w:t xml:space="preserve"> </w:t>
      </w:r>
      <w:r>
        <w:rPr>
          <w:b/>
        </w:rPr>
        <w:t>74</w:t>
      </w:r>
      <w:r>
        <w:t>8,</w:t>
      </w:r>
      <w:r>
        <w:rPr>
          <w:b/>
        </w:rPr>
        <w:t xml:space="preserve">76 </w:t>
      </w:r>
      <w:r>
        <w:t>Kč, z toho:</w:t>
      </w:r>
    </w:p>
    <w:p w14:paraId="15BA751E" w14:textId="77777777" w:rsidR="00113B5D" w:rsidRDefault="00113B5D" w:rsidP="0061429B">
      <w:pPr>
        <w:pStyle w:val="KUJKnormal"/>
      </w:pPr>
      <w:r>
        <w:t xml:space="preserve">  - 15% kofinancování </w:t>
      </w:r>
      <w:r>
        <w:rPr>
          <w:b/>
        </w:rPr>
        <w:t xml:space="preserve">49 504 762,31 </w:t>
      </w:r>
      <w:r>
        <w:t>Kč,</w:t>
      </w:r>
    </w:p>
    <w:p w14:paraId="2D2BB2ED" w14:textId="77777777" w:rsidR="00113B5D" w:rsidRDefault="00113B5D" w:rsidP="0061429B">
      <w:pPr>
        <w:pStyle w:val="KUJKnormal"/>
      </w:pPr>
      <w:r>
        <w:t xml:space="preserve">  - 85% předfinancování </w:t>
      </w:r>
      <w:r>
        <w:rPr>
          <w:b/>
        </w:rPr>
        <w:t>280 526 986,45</w:t>
      </w:r>
      <w:r>
        <w:t xml:space="preserve"> Kč,</w:t>
      </w:r>
    </w:p>
    <w:p w14:paraId="007BFC54" w14:textId="77777777" w:rsidR="00113B5D" w:rsidRDefault="00113B5D" w:rsidP="0061429B">
      <w:pPr>
        <w:pStyle w:val="KUJKnormal"/>
      </w:pPr>
      <w:r>
        <w:t xml:space="preserve">- částka nezpůsobilých výdajů ve výši </w:t>
      </w:r>
      <w:r>
        <w:rPr>
          <w:b/>
        </w:rPr>
        <w:t xml:space="preserve">31 420 981,80 </w:t>
      </w:r>
      <w:r>
        <w:t xml:space="preserve">Kč.  </w:t>
      </w:r>
    </w:p>
    <w:p w14:paraId="2F8BC7E8" w14:textId="77777777" w:rsidR="00113B5D" w:rsidRDefault="00113B5D" w:rsidP="00110C42">
      <w:pPr>
        <w:pStyle w:val="KUJKnormal"/>
      </w:pPr>
    </w:p>
    <w:p w14:paraId="2080DB43" w14:textId="77777777" w:rsidR="00113B5D" w:rsidRDefault="00113B5D" w:rsidP="00110C42">
      <w:pPr>
        <w:pStyle w:val="KUJKnormal"/>
      </w:pPr>
    </w:p>
    <w:p w14:paraId="0A685F5D" w14:textId="77777777" w:rsidR="00113B5D" w:rsidRDefault="00113B5D" w:rsidP="00110C42">
      <w:pPr>
        <w:pStyle w:val="KUJKnormal"/>
      </w:pPr>
      <w:r>
        <w:t>Vyjádření správce rozpočtu:</w:t>
      </w:r>
    </w:p>
    <w:p w14:paraId="611F2F96" w14:textId="77777777" w:rsidR="00113B5D" w:rsidRDefault="00113B5D" w:rsidP="007F283C">
      <w:pPr>
        <w:pStyle w:val="KUJKnormal"/>
      </w:pPr>
      <w:r>
        <w:t>Ing. Michaela Zárubová (OEKO):</w:t>
      </w:r>
      <w:r w:rsidRPr="007666AA">
        <w:t xml:space="preserve"> </w:t>
      </w:r>
      <w:r>
        <w:t xml:space="preserve"> Souhlasím</w:t>
      </w:r>
      <w:r w:rsidRPr="007666AA">
        <w:t xml:space="preserve"> - </w:t>
      </w:r>
      <w:r>
        <w:t xml:space="preserve"> Souhlasím z hlediska rozpočtového krytí.  Ve schváleném rozpočtu na rok 2023 je nyní  50,883 mil. Kč (§2212, pol. 6909, ORJ 2068, ORG 1491003900001). Ve schváleném SVR na roky 2024-25 je 100 mil. Kč v roce 2024 a 100 mil. Kč v roce 2025.  Financování bude nutné upravit v rámci roku 2023, v návrhu rozpočtu na rok 2024 a návrhu SVR 2025-26 dle předloženého čerpání v letech.</w:t>
      </w:r>
    </w:p>
    <w:p w14:paraId="047189EA" w14:textId="77777777" w:rsidR="00113B5D" w:rsidRDefault="00113B5D" w:rsidP="00110C42">
      <w:pPr>
        <w:pStyle w:val="KUJKnormal"/>
      </w:pPr>
    </w:p>
    <w:p w14:paraId="12C48DE8" w14:textId="77777777" w:rsidR="00113B5D" w:rsidRDefault="00113B5D" w:rsidP="00110C42">
      <w:pPr>
        <w:pStyle w:val="KUJKnormal"/>
      </w:pPr>
    </w:p>
    <w:p w14:paraId="1984C417" w14:textId="77777777" w:rsidR="00113B5D" w:rsidRDefault="00113B5D" w:rsidP="00110C42">
      <w:pPr>
        <w:pStyle w:val="KUJKnormal"/>
      </w:pPr>
      <w:r>
        <w:t>Návrh projednán (stanoviska): nevyžadují se</w:t>
      </w:r>
    </w:p>
    <w:p w14:paraId="156372C9" w14:textId="77777777" w:rsidR="00113B5D" w:rsidRDefault="00113B5D" w:rsidP="00110C42">
      <w:pPr>
        <w:pStyle w:val="KUJKnormal"/>
      </w:pPr>
    </w:p>
    <w:p w14:paraId="233746FD" w14:textId="77777777" w:rsidR="00113B5D" w:rsidRDefault="00113B5D" w:rsidP="00110C42">
      <w:pPr>
        <w:pStyle w:val="KUJKnormal"/>
      </w:pPr>
    </w:p>
    <w:p w14:paraId="1AAB13B5" w14:textId="77777777" w:rsidR="00113B5D" w:rsidRPr="007939A8" w:rsidRDefault="00113B5D" w:rsidP="00110C42">
      <w:pPr>
        <w:pStyle w:val="KUJKtucny"/>
      </w:pPr>
      <w:r w:rsidRPr="007939A8">
        <w:t>PŘÍLOHY:</w:t>
      </w:r>
    </w:p>
    <w:p w14:paraId="301FB848" w14:textId="77777777" w:rsidR="00113B5D" w:rsidRPr="00B52AA9" w:rsidRDefault="00113B5D" w:rsidP="0061429B">
      <w:pPr>
        <w:pStyle w:val="KUJKcislovany"/>
      </w:pPr>
      <w:r>
        <w:t>Formulař evropského projektu</w:t>
      </w:r>
      <w:r w:rsidRPr="0081756D">
        <w:t xml:space="preserve"> (</w:t>
      </w:r>
      <w:r>
        <w:t>ZK230622_255_př. 1.xls</w:t>
      </w:r>
      <w:r w:rsidRPr="0081756D">
        <w:t>)</w:t>
      </w:r>
    </w:p>
    <w:p w14:paraId="4BED7E78" w14:textId="77777777" w:rsidR="00113B5D" w:rsidRDefault="00113B5D" w:rsidP="00110C42">
      <w:pPr>
        <w:pStyle w:val="KUJKnormal"/>
      </w:pPr>
    </w:p>
    <w:p w14:paraId="7119930A" w14:textId="77777777" w:rsidR="00113B5D" w:rsidRDefault="00113B5D" w:rsidP="00110C42">
      <w:pPr>
        <w:pStyle w:val="KUJKnormal"/>
      </w:pPr>
    </w:p>
    <w:p w14:paraId="7D2AD17A" w14:textId="77777777" w:rsidR="00113B5D" w:rsidRPr="007C1EE7" w:rsidRDefault="00113B5D" w:rsidP="00110C42">
      <w:pPr>
        <w:pStyle w:val="KUJKtucny"/>
      </w:pPr>
      <w:r w:rsidRPr="007C1EE7">
        <w:t>Zodpovídá:</w:t>
      </w:r>
      <w:r>
        <w:t xml:space="preserve"> </w:t>
      </w:r>
      <w:r w:rsidRPr="00C10526">
        <w:rPr>
          <w:b w:val="0"/>
          <w:bCs/>
        </w:rPr>
        <w:t>vedoucí ODSH – JUDr. Andrea Tetourová</w:t>
      </w:r>
    </w:p>
    <w:p w14:paraId="6EB3366B" w14:textId="77777777" w:rsidR="00113B5D" w:rsidRDefault="00113B5D" w:rsidP="00110C42">
      <w:pPr>
        <w:pStyle w:val="KUJKnormal"/>
      </w:pPr>
    </w:p>
    <w:p w14:paraId="6C3BA5DF" w14:textId="77777777" w:rsidR="00113B5D" w:rsidRDefault="00113B5D" w:rsidP="00110C42">
      <w:pPr>
        <w:pStyle w:val="KUJKnormal"/>
      </w:pPr>
      <w:r>
        <w:t>Termín kontroly:</w:t>
      </w:r>
      <w:r>
        <w:tab/>
        <w:t>31. 12. 2023</w:t>
      </w:r>
    </w:p>
    <w:p w14:paraId="475757B8" w14:textId="77777777" w:rsidR="00113B5D" w:rsidRDefault="00113B5D" w:rsidP="00110C42">
      <w:pPr>
        <w:pStyle w:val="KUJKnormal"/>
      </w:pPr>
      <w:r>
        <w:t>Termín splnění:</w:t>
      </w:r>
      <w:r>
        <w:tab/>
      </w:r>
      <w:r>
        <w:tab/>
        <w:t>31. 12. 2025</w:t>
      </w:r>
    </w:p>
    <w:p w14:paraId="7CCD037C" w14:textId="77777777" w:rsidR="00113B5D" w:rsidRDefault="00113B5D"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FE4C1" w14:textId="77777777" w:rsidR="00113B5D" w:rsidRDefault="00113B5D" w:rsidP="00113B5D">
    <w:r>
      <w:rPr>
        <w:noProof/>
      </w:rPr>
      <w:pict w14:anchorId="58F4501F">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3FBF0B2D" w14:textId="77777777" w:rsidR="00113B5D" w:rsidRPr="005F485E" w:rsidRDefault="00113B5D" w:rsidP="00113B5D">
                <w:pPr>
                  <w:spacing w:after="60"/>
                  <w:rPr>
                    <w:rFonts w:ascii="Arial" w:hAnsi="Arial" w:cs="Arial"/>
                    <w:b/>
                    <w:sz w:val="22"/>
                  </w:rPr>
                </w:pPr>
                <w:r w:rsidRPr="005F485E">
                  <w:rPr>
                    <w:rFonts w:ascii="Arial" w:hAnsi="Arial" w:cs="Arial"/>
                    <w:b/>
                    <w:sz w:val="22"/>
                  </w:rPr>
                  <w:t>ZASTUPITELSTVO JIHOČESKÉHO KRAJE</w:t>
                </w:r>
              </w:p>
              <w:p w14:paraId="1F1C9A7C" w14:textId="77777777" w:rsidR="00113B5D" w:rsidRPr="005F485E" w:rsidRDefault="00113B5D" w:rsidP="00113B5D">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2FB28A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35877876" w14:textId="77777777" w:rsidR="00113B5D" w:rsidRDefault="00113B5D" w:rsidP="00113B5D">
    <w:r>
      <w:pict w14:anchorId="6F739243">
        <v:rect id="_x0000_i1026" style="width:481.9pt;height:2pt" o:hralign="center" o:hrstd="t" o:hrnoshade="t" o:hr="t" fillcolor="black" stroked="f"/>
      </w:pict>
    </w:r>
  </w:p>
  <w:p w14:paraId="0DC901EC" w14:textId="77777777" w:rsidR="00113B5D" w:rsidRPr="00113B5D" w:rsidRDefault="00113B5D" w:rsidP="00113B5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6696596">
    <w:abstractNumId w:val="1"/>
  </w:num>
  <w:num w:numId="2" w16cid:durableId="1205169056">
    <w:abstractNumId w:val="2"/>
  </w:num>
  <w:num w:numId="3" w16cid:durableId="1141506074">
    <w:abstractNumId w:val="9"/>
  </w:num>
  <w:num w:numId="4" w16cid:durableId="722485113">
    <w:abstractNumId w:val="7"/>
  </w:num>
  <w:num w:numId="5" w16cid:durableId="885726944">
    <w:abstractNumId w:val="0"/>
  </w:num>
  <w:num w:numId="6" w16cid:durableId="923338423">
    <w:abstractNumId w:val="3"/>
  </w:num>
  <w:num w:numId="7" w16cid:durableId="480270256">
    <w:abstractNumId w:val="6"/>
  </w:num>
  <w:num w:numId="8" w16cid:durableId="87383831">
    <w:abstractNumId w:val="4"/>
  </w:num>
  <w:num w:numId="9" w16cid:durableId="1422097379">
    <w:abstractNumId w:val="5"/>
  </w:num>
  <w:num w:numId="10" w16cid:durableId="1390495166">
    <w:abstractNumId w:val="8"/>
  </w:num>
  <w:num w:numId="11" w16cid:durableId="1660452506">
    <w:abstractNumId w:val="4"/>
    <w:lvlOverride w:ilvl="0">
      <w:startOverride w:val="1"/>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B5D"/>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paragraph" w:styleId="Prosttext">
    <w:name w:val="Plain Text"/>
    <w:basedOn w:val="Normln"/>
    <w:link w:val="ProsttextChar"/>
    <w:uiPriority w:val="99"/>
    <w:rsid w:val="00113B5D"/>
    <w:rPr>
      <w:rFonts w:ascii="Consolas" w:eastAsia="Times New Roman" w:hAnsi="Consolas"/>
      <w:sz w:val="21"/>
      <w:szCs w:val="21"/>
      <w:lang w:eastAsia="cs-CZ"/>
    </w:rPr>
  </w:style>
  <w:style w:type="character" w:customStyle="1" w:styleId="ProsttextChar">
    <w:name w:val="Prostý text Char"/>
    <w:basedOn w:val="Standardnpsmoodstavce"/>
    <w:link w:val="Prosttext"/>
    <w:uiPriority w:val="99"/>
    <w:rsid w:val="00113B5D"/>
    <w:rPr>
      <w:rFonts w:ascii="Consolas" w:eastAsia="Times New Roman"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789</Words>
  <Characters>4661</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2023-08-30T14:24:00Z</dcterms:created>
  <dcterms:modified xsi:type="dcterms:W3CDTF">2023-08-30T14:24:00Z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6211060</vt:i4>
  </property>
  <property fmtid="{D5CDD505-2E9C-101B-9397-08002B2CF9AE}" pid="3" name="ID_Navrh">
    <vt:i4>6334685</vt:i4>
  </property>
  <property fmtid="{D5CDD505-2E9C-101B-9397-08002B2CF9AE}" pid="4" name="UlozitJako">
    <vt:lpwstr>C:\Users\mrazkova\AppData\Local\Temp\iU29116460\Zastupitelstvo\2023-06-22\Navrhy\255-ZK-23.</vt:lpwstr>
  </property>
  <property fmtid="{D5CDD505-2E9C-101B-9397-08002B2CF9AE}" pid="5" name="Zpracovat">
    <vt:bool>false</vt:bool>
  </property>
</Properties>
</file>