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51B4C" w14:paraId="43F5E8FA" w14:textId="77777777" w:rsidTr="0012542D">
        <w:trPr>
          <w:trHeight w:hRule="exact" w:val="397"/>
        </w:trPr>
        <w:tc>
          <w:tcPr>
            <w:tcW w:w="2376" w:type="dxa"/>
            <w:hideMark/>
          </w:tcPr>
          <w:p w14:paraId="142FFD6F" w14:textId="77777777" w:rsidR="00051B4C" w:rsidRDefault="00051B4C" w:rsidP="00970720">
            <w:pPr>
              <w:pStyle w:val="KUJKtucny"/>
            </w:pPr>
            <w:r>
              <w:t>Datum jednání:</w:t>
            </w:r>
          </w:p>
        </w:tc>
        <w:tc>
          <w:tcPr>
            <w:tcW w:w="3828" w:type="dxa"/>
            <w:hideMark/>
          </w:tcPr>
          <w:p w14:paraId="101A48EB" w14:textId="77777777" w:rsidR="00051B4C" w:rsidRDefault="00051B4C" w:rsidP="00970720">
            <w:pPr>
              <w:pStyle w:val="KUJKnormal"/>
            </w:pPr>
            <w:r>
              <w:t>22. 06. 2023</w:t>
            </w:r>
          </w:p>
        </w:tc>
        <w:tc>
          <w:tcPr>
            <w:tcW w:w="2126" w:type="dxa"/>
            <w:hideMark/>
          </w:tcPr>
          <w:p w14:paraId="5B6C1EAF" w14:textId="77777777" w:rsidR="00051B4C" w:rsidRDefault="00051B4C" w:rsidP="00970720">
            <w:pPr>
              <w:pStyle w:val="KUJKtucny"/>
            </w:pPr>
            <w:r>
              <w:t>Bod programu:</w:t>
            </w:r>
          </w:p>
        </w:tc>
        <w:tc>
          <w:tcPr>
            <w:tcW w:w="850" w:type="dxa"/>
          </w:tcPr>
          <w:p w14:paraId="5DE20C12" w14:textId="77777777" w:rsidR="00051B4C" w:rsidRDefault="00051B4C" w:rsidP="00970720">
            <w:pPr>
              <w:pStyle w:val="KUJKnormal"/>
            </w:pPr>
          </w:p>
        </w:tc>
      </w:tr>
      <w:tr w:rsidR="00051B4C" w14:paraId="75DC0F1D" w14:textId="77777777" w:rsidTr="0012542D">
        <w:trPr>
          <w:cantSplit/>
          <w:trHeight w:hRule="exact" w:val="397"/>
        </w:trPr>
        <w:tc>
          <w:tcPr>
            <w:tcW w:w="2376" w:type="dxa"/>
            <w:hideMark/>
          </w:tcPr>
          <w:p w14:paraId="4BF7A1E0" w14:textId="77777777" w:rsidR="00051B4C" w:rsidRDefault="00051B4C" w:rsidP="00970720">
            <w:pPr>
              <w:pStyle w:val="KUJKtucny"/>
            </w:pPr>
            <w:r>
              <w:t>Číslo návrhu:</w:t>
            </w:r>
          </w:p>
        </w:tc>
        <w:tc>
          <w:tcPr>
            <w:tcW w:w="6804" w:type="dxa"/>
            <w:gridSpan w:val="3"/>
            <w:hideMark/>
          </w:tcPr>
          <w:p w14:paraId="7609ED28" w14:textId="77777777" w:rsidR="00051B4C" w:rsidRDefault="00051B4C" w:rsidP="00970720">
            <w:pPr>
              <w:pStyle w:val="KUJKnormal"/>
            </w:pPr>
            <w:r>
              <w:t>225/ZK/23</w:t>
            </w:r>
          </w:p>
        </w:tc>
      </w:tr>
      <w:tr w:rsidR="00051B4C" w14:paraId="76B04016" w14:textId="77777777" w:rsidTr="0012542D">
        <w:trPr>
          <w:trHeight w:val="397"/>
        </w:trPr>
        <w:tc>
          <w:tcPr>
            <w:tcW w:w="2376" w:type="dxa"/>
          </w:tcPr>
          <w:p w14:paraId="163CC7D8" w14:textId="77777777" w:rsidR="00051B4C" w:rsidRDefault="00051B4C" w:rsidP="00970720"/>
          <w:p w14:paraId="34CB6A22" w14:textId="77777777" w:rsidR="00051B4C" w:rsidRDefault="00051B4C" w:rsidP="00970720">
            <w:pPr>
              <w:pStyle w:val="KUJKtucny"/>
            </w:pPr>
            <w:r>
              <w:t>Název bodu:</w:t>
            </w:r>
          </w:p>
        </w:tc>
        <w:tc>
          <w:tcPr>
            <w:tcW w:w="6804" w:type="dxa"/>
            <w:gridSpan w:val="3"/>
          </w:tcPr>
          <w:p w14:paraId="7AB36AD2" w14:textId="77777777" w:rsidR="00051B4C" w:rsidRDefault="00051B4C" w:rsidP="00970720"/>
          <w:p w14:paraId="5015FDA3" w14:textId="77777777" w:rsidR="00051B4C" w:rsidRDefault="00051B4C" w:rsidP="00970720">
            <w:pPr>
              <w:pStyle w:val="KUJKtucny"/>
              <w:rPr>
                <w:sz w:val="22"/>
                <w:szCs w:val="22"/>
              </w:rPr>
            </w:pPr>
            <w:r>
              <w:rPr>
                <w:sz w:val="22"/>
                <w:szCs w:val="22"/>
              </w:rPr>
              <w:t>Vydání 11. aktualizace Zásad územního rozvoje Jihočeského kraje</w:t>
            </w:r>
          </w:p>
        </w:tc>
      </w:tr>
    </w:tbl>
    <w:p w14:paraId="62977F15" w14:textId="77777777" w:rsidR="00051B4C" w:rsidRDefault="00051B4C" w:rsidP="0012542D">
      <w:pPr>
        <w:pStyle w:val="KUJKnormal"/>
        <w:rPr>
          <w:b/>
          <w:bCs/>
        </w:rPr>
      </w:pPr>
      <w:r>
        <w:rPr>
          <w:b/>
          <w:bCs/>
        </w:rPr>
        <w:pict w14:anchorId="050B0E4B">
          <v:rect id="_x0000_i1029" style="width:453.6pt;height:1.5pt" o:hralign="center" o:hrstd="t" o:hrnoshade="t" o:hr="t" fillcolor="black" stroked="f"/>
        </w:pict>
      </w:r>
    </w:p>
    <w:p w14:paraId="68F32277" w14:textId="77777777" w:rsidR="00051B4C" w:rsidRDefault="00051B4C" w:rsidP="0012542D">
      <w:pPr>
        <w:pStyle w:val="KUJKnormal"/>
      </w:pPr>
    </w:p>
    <w:p w14:paraId="527E2744" w14:textId="77777777" w:rsidR="00051B4C" w:rsidRDefault="00051B4C" w:rsidP="0012542D"/>
    <w:tbl>
      <w:tblPr>
        <w:tblW w:w="0" w:type="auto"/>
        <w:tblCellMar>
          <w:left w:w="70" w:type="dxa"/>
          <w:right w:w="70" w:type="dxa"/>
        </w:tblCellMar>
        <w:tblLook w:val="04A0" w:firstRow="1" w:lastRow="0" w:firstColumn="1" w:lastColumn="0" w:noHBand="0" w:noVBand="1"/>
      </w:tblPr>
      <w:tblGrid>
        <w:gridCol w:w="2350"/>
        <w:gridCol w:w="6862"/>
      </w:tblGrid>
      <w:tr w:rsidR="00051B4C" w14:paraId="7952FE18" w14:textId="77777777" w:rsidTr="002559B8">
        <w:trPr>
          <w:trHeight w:val="397"/>
        </w:trPr>
        <w:tc>
          <w:tcPr>
            <w:tcW w:w="2350" w:type="dxa"/>
            <w:hideMark/>
          </w:tcPr>
          <w:p w14:paraId="4CB53518" w14:textId="77777777" w:rsidR="00051B4C" w:rsidRDefault="00051B4C" w:rsidP="002559B8">
            <w:pPr>
              <w:pStyle w:val="KUJKtucny"/>
            </w:pPr>
            <w:r>
              <w:t>Předkladatel:</w:t>
            </w:r>
          </w:p>
        </w:tc>
        <w:tc>
          <w:tcPr>
            <w:tcW w:w="6862" w:type="dxa"/>
          </w:tcPr>
          <w:p w14:paraId="5EC2A7F1" w14:textId="77777777" w:rsidR="00051B4C" w:rsidRDefault="00051B4C" w:rsidP="002559B8">
            <w:pPr>
              <w:pStyle w:val="KUJKnormal"/>
            </w:pPr>
            <w:r>
              <w:t>Mgr. Bc. Antonín Krák</w:t>
            </w:r>
          </w:p>
          <w:p w14:paraId="6CB1BAAA" w14:textId="77777777" w:rsidR="00051B4C" w:rsidRDefault="00051B4C" w:rsidP="002559B8"/>
        </w:tc>
      </w:tr>
      <w:tr w:rsidR="00051B4C" w14:paraId="4B575383" w14:textId="77777777" w:rsidTr="002559B8">
        <w:trPr>
          <w:trHeight w:val="397"/>
        </w:trPr>
        <w:tc>
          <w:tcPr>
            <w:tcW w:w="2350" w:type="dxa"/>
          </w:tcPr>
          <w:p w14:paraId="7FEAE61C" w14:textId="77777777" w:rsidR="00051B4C" w:rsidRDefault="00051B4C" w:rsidP="002559B8">
            <w:pPr>
              <w:pStyle w:val="KUJKtucny"/>
            </w:pPr>
            <w:r>
              <w:t>Zpracoval:</w:t>
            </w:r>
          </w:p>
          <w:p w14:paraId="718AC910" w14:textId="77777777" w:rsidR="00051B4C" w:rsidRDefault="00051B4C" w:rsidP="002559B8"/>
        </w:tc>
        <w:tc>
          <w:tcPr>
            <w:tcW w:w="6862" w:type="dxa"/>
            <w:hideMark/>
          </w:tcPr>
          <w:p w14:paraId="7450659E" w14:textId="77777777" w:rsidR="00051B4C" w:rsidRDefault="00051B4C" w:rsidP="002559B8">
            <w:pPr>
              <w:pStyle w:val="KUJKnormal"/>
            </w:pPr>
            <w:r>
              <w:t>OREG</w:t>
            </w:r>
          </w:p>
        </w:tc>
      </w:tr>
      <w:tr w:rsidR="00051B4C" w14:paraId="084E0DC3" w14:textId="77777777" w:rsidTr="002559B8">
        <w:trPr>
          <w:trHeight w:val="397"/>
        </w:trPr>
        <w:tc>
          <w:tcPr>
            <w:tcW w:w="2350" w:type="dxa"/>
          </w:tcPr>
          <w:p w14:paraId="702B9ED4" w14:textId="77777777" w:rsidR="00051B4C" w:rsidRPr="009715F9" w:rsidRDefault="00051B4C" w:rsidP="002559B8">
            <w:pPr>
              <w:pStyle w:val="KUJKnormal"/>
              <w:rPr>
                <w:b/>
              </w:rPr>
            </w:pPr>
            <w:r w:rsidRPr="009715F9">
              <w:rPr>
                <w:b/>
              </w:rPr>
              <w:t>Vedoucí odboru:</w:t>
            </w:r>
          </w:p>
          <w:p w14:paraId="54792DD7" w14:textId="77777777" w:rsidR="00051B4C" w:rsidRDefault="00051B4C" w:rsidP="002559B8"/>
        </w:tc>
        <w:tc>
          <w:tcPr>
            <w:tcW w:w="6862" w:type="dxa"/>
            <w:hideMark/>
          </w:tcPr>
          <w:p w14:paraId="47E070A4" w14:textId="77777777" w:rsidR="00051B4C" w:rsidRDefault="00051B4C" w:rsidP="002559B8">
            <w:pPr>
              <w:pStyle w:val="KUJKnormal"/>
            </w:pPr>
            <w:r>
              <w:t>Ing. arch. Petr Hornát</w:t>
            </w:r>
          </w:p>
        </w:tc>
      </w:tr>
    </w:tbl>
    <w:p w14:paraId="35729E93" w14:textId="77777777" w:rsidR="00051B4C" w:rsidRDefault="00051B4C" w:rsidP="0012542D">
      <w:pPr>
        <w:pStyle w:val="KUJKnormal"/>
      </w:pPr>
    </w:p>
    <w:p w14:paraId="093A31BE" w14:textId="77777777" w:rsidR="00051B4C" w:rsidRPr="0052161F" w:rsidRDefault="00051B4C" w:rsidP="0012542D">
      <w:pPr>
        <w:pStyle w:val="KUJKtucny"/>
      </w:pPr>
      <w:r w:rsidRPr="0052161F">
        <w:t>NÁVRH USNESENÍ</w:t>
      </w:r>
    </w:p>
    <w:p w14:paraId="1892EC51" w14:textId="77777777" w:rsidR="00051B4C" w:rsidRDefault="00051B4C" w:rsidP="0012542D">
      <w:pPr>
        <w:pStyle w:val="KUJKnormal"/>
        <w:rPr>
          <w:rFonts w:ascii="Calibri" w:hAnsi="Calibri" w:cs="Calibri"/>
          <w:sz w:val="12"/>
          <w:szCs w:val="12"/>
        </w:rPr>
      </w:pPr>
      <w:bookmarkStart w:id="0" w:name="US_ZaVeVeci"/>
      <w:bookmarkEnd w:id="0"/>
    </w:p>
    <w:p w14:paraId="57808BEF" w14:textId="77777777" w:rsidR="00051B4C" w:rsidRPr="00841DFC" w:rsidRDefault="00051B4C" w:rsidP="0012542D">
      <w:pPr>
        <w:pStyle w:val="KUJKPolozka"/>
      </w:pPr>
      <w:r w:rsidRPr="00841DFC">
        <w:t>Zastupitelstvo Jihočeského kraje</w:t>
      </w:r>
    </w:p>
    <w:p w14:paraId="7985259D" w14:textId="77777777" w:rsidR="00051B4C" w:rsidRDefault="00051B4C" w:rsidP="003A136C">
      <w:pPr>
        <w:pStyle w:val="KUJKdoplnek2"/>
        <w:ind w:left="357" w:hanging="357"/>
      </w:pPr>
      <w:r w:rsidRPr="00730306">
        <w:t>bere na vědomí</w:t>
      </w:r>
    </w:p>
    <w:p w14:paraId="0400F76B"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informaci o projednání návrhu 11. aktualizace Zásad územního rozvoje Jihočeského kraje, jejím obsahu a</w:t>
      </w:r>
      <w:r>
        <w:rPr>
          <w:rFonts w:ascii="Arial" w:hAnsi="Arial" w:cs="Arial"/>
          <w:color w:val="000000"/>
          <w:sz w:val="20"/>
          <w:szCs w:val="20"/>
        </w:rPr>
        <w:t> </w:t>
      </w:r>
      <w:r w:rsidRPr="003A136C">
        <w:rPr>
          <w:rFonts w:ascii="Arial" w:hAnsi="Arial" w:cs="Arial"/>
          <w:color w:val="000000"/>
          <w:sz w:val="20"/>
          <w:szCs w:val="20"/>
        </w:rPr>
        <w:t xml:space="preserve">přípravě vydání; </w:t>
      </w:r>
    </w:p>
    <w:p w14:paraId="34206F41" w14:textId="77777777" w:rsidR="00051B4C" w:rsidRPr="003A136C" w:rsidRDefault="00051B4C" w:rsidP="003A136C">
      <w:pPr>
        <w:pStyle w:val="KUJKdoplnek2"/>
        <w:rPr>
          <w:rFonts w:cs="Arial"/>
        </w:rPr>
      </w:pPr>
      <w:r w:rsidRPr="003A136C">
        <w:rPr>
          <w:rFonts w:cs="Arial"/>
        </w:rPr>
        <w:t>souhlasí</w:t>
      </w:r>
    </w:p>
    <w:p w14:paraId="5B58F0F8"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s návrhem vypořádání připomínek uplatněných v rámci projednání 11. aktualizace Zásad územního rozvoje Jihočeského kraje v souladu s § 172 odst. 4 zákona č. 500/2004 Sb., správní řád, v platném znění (dále jen „správní řád“) ve znění:</w:t>
      </w:r>
    </w:p>
    <w:p w14:paraId="7E214A8F" w14:textId="77777777" w:rsidR="00051B4C" w:rsidRPr="003A136C" w:rsidRDefault="00051B4C" w:rsidP="003A136C">
      <w:pPr>
        <w:pStyle w:val="Odstavecseseznamem"/>
        <w:numPr>
          <w:ilvl w:val="0"/>
          <w:numId w:val="11"/>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připomínka č. 1 uplatněná konkrétní fyzickou osobou, připomínka č. 2 uplatněná Spolkem T.G.M novevrato.cz, připomínka č. 3 uplatněná konkrétní fyzickou osobou, připomínka č. 4 uplatněná konkrétní fyzickou osobou, připomínka č. 5 uplatněná Arnikou – Program pro Toxické látky a odpady, připomínka č. 8 uplatněná Spolkem Náš Domov, připomínka č. 9 uplatněná společností AGADAX s.r.o. – jednotlivým</w:t>
      </w:r>
      <w:r w:rsidRPr="003A136C">
        <w:rPr>
          <w:rFonts w:ascii="Arial" w:hAnsi="Arial" w:cs="Arial"/>
          <w:b/>
          <w:bCs/>
          <w:color w:val="000000"/>
          <w:sz w:val="20"/>
          <w:szCs w:val="20"/>
        </w:rPr>
        <w:t xml:space="preserve"> připomínkám se nevyhovuje</w:t>
      </w:r>
      <w:r w:rsidRPr="003A136C">
        <w:rPr>
          <w:rFonts w:ascii="Arial" w:hAnsi="Arial" w:cs="Arial"/>
          <w:color w:val="000000"/>
          <w:sz w:val="20"/>
          <w:szCs w:val="20"/>
        </w:rPr>
        <w:t xml:space="preserve">, </w:t>
      </w:r>
    </w:p>
    <w:p w14:paraId="5E364270" w14:textId="77777777" w:rsidR="00051B4C" w:rsidRPr="003A136C" w:rsidRDefault="00051B4C" w:rsidP="003A136C">
      <w:pPr>
        <w:pStyle w:val="Odstavecseseznamem"/>
        <w:numPr>
          <w:ilvl w:val="0"/>
          <w:numId w:val="11"/>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připomínka č. 6 uplatněná členem Zastupitelstva kraje Jihočeského kraje – </w:t>
      </w:r>
      <w:r w:rsidRPr="003A136C">
        <w:rPr>
          <w:rFonts w:ascii="Arial" w:hAnsi="Arial" w:cs="Arial"/>
          <w:b/>
          <w:bCs/>
          <w:color w:val="000000"/>
          <w:sz w:val="20"/>
          <w:szCs w:val="20"/>
        </w:rPr>
        <w:t>připomínce se nevyhovuje</w:t>
      </w:r>
      <w:r w:rsidRPr="003A136C">
        <w:rPr>
          <w:rFonts w:ascii="Arial" w:hAnsi="Arial" w:cs="Arial"/>
          <w:color w:val="000000"/>
          <w:sz w:val="20"/>
          <w:szCs w:val="20"/>
        </w:rPr>
        <w:t xml:space="preserve">, </w:t>
      </w:r>
    </w:p>
    <w:p w14:paraId="629FB181" w14:textId="77777777" w:rsidR="00051B4C" w:rsidRPr="003A136C" w:rsidRDefault="00051B4C" w:rsidP="003A136C">
      <w:pPr>
        <w:pStyle w:val="Odstavecseseznamem"/>
        <w:numPr>
          <w:ilvl w:val="0"/>
          <w:numId w:val="11"/>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připomínka č. 7 uplatněná členem Zastupitelstva kraje Jihočeského kraje – </w:t>
      </w:r>
      <w:r w:rsidRPr="003A136C">
        <w:rPr>
          <w:rFonts w:ascii="Arial" w:hAnsi="Arial" w:cs="Arial"/>
          <w:b/>
          <w:bCs/>
          <w:color w:val="000000"/>
          <w:sz w:val="20"/>
          <w:szCs w:val="20"/>
        </w:rPr>
        <w:t>připomínce se nevyhovuje</w:t>
      </w:r>
      <w:r w:rsidRPr="003A136C">
        <w:rPr>
          <w:rFonts w:ascii="Arial" w:hAnsi="Arial" w:cs="Arial"/>
          <w:color w:val="000000"/>
          <w:sz w:val="20"/>
          <w:szCs w:val="20"/>
        </w:rPr>
        <w:t xml:space="preserve">, </w:t>
      </w:r>
    </w:p>
    <w:p w14:paraId="23699481" w14:textId="77777777" w:rsidR="00051B4C" w:rsidRPr="003A136C" w:rsidRDefault="00051B4C" w:rsidP="003A136C">
      <w:pPr>
        <w:pStyle w:val="Odstavecseseznamem"/>
        <w:numPr>
          <w:ilvl w:val="0"/>
          <w:numId w:val="11"/>
        </w:numPr>
        <w:spacing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připomínka č. 10 uplatněná Jihomoravským krajem – </w:t>
      </w:r>
      <w:r w:rsidRPr="003A136C">
        <w:rPr>
          <w:rFonts w:ascii="Arial" w:hAnsi="Arial" w:cs="Arial"/>
          <w:b/>
          <w:bCs/>
          <w:color w:val="000000"/>
          <w:sz w:val="20"/>
          <w:szCs w:val="20"/>
        </w:rPr>
        <w:t>bez faktických připomínek</w:t>
      </w:r>
      <w:r w:rsidRPr="003A136C">
        <w:rPr>
          <w:rFonts w:ascii="Arial" w:hAnsi="Arial" w:cs="Arial"/>
          <w:color w:val="000000"/>
          <w:sz w:val="20"/>
          <w:szCs w:val="20"/>
        </w:rPr>
        <w:t>;</w:t>
      </w:r>
    </w:p>
    <w:p w14:paraId="2472EF42" w14:textId="77777777" w:rsidR="00051B4C" w:rsidRPr="003A136C" w:rsidRDefault="00051B4C" w:rsidP="003A136C">
      <w:pPr>
        <w:pStyle w:val="KUJKdoplnek2"/>
        <w:rPr>
          <w:rFonts w:cs="Arial"/>
        </w:rPr>
      </w:pPr>
      <w:r w:rsidRPr="003A136C">
        <w:rPr>
          <w:rFonts w:cs="Arial"/>
        </w:rPr>
        <w:t>rozhoduje</w:t>
      </w:r>
    </w:p>
    <w:p w14:paraId="68517B02"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o námitkách uplatněných v průběhu pořizování návrhu 11. aktualizace Zásad územního rozvoje Jihočeského kraje v souladu s § 172 odst. 5 správního řádu následovně:</w:t>
      </w:r>
    </w:p>
    <w:p w14:paraId="18E8F93C"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1 uplatněná městem Písek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3CAE2FCA"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2 uplatněná městem Strakonice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016C2CAE"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3 uplatněná městem Tábor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2DFACFF3"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4 uplatněná společností Odpady Písek s.r.o.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0A0874B9"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5 uplatněná společností C-Energy Planá s.r.o.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01729B37"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6 uplatněná společností ČEPRO, a.s. – </w:t>
      </w:r>
      <w:r w:rsidRPr="003A136C">
        <w:rPr>
          <w:rFonts w:ascii="Arial" w:hAnsi="Arial" w:cs="Arial"/>
          <w:b/>
          <w:bCs/>
          <w:color w:val="000000"/>
          <w:sz w:val="20"/>
          <w:szCs w:val="20"/>
        </w:rPr>
        <w:t>námitce se vyhovuje</w:t>
      </w:r>
      <w:r w:rsidRPr="003A136C">
        <w:rPr>
          <w:rFonts w:ascii="Arial" w:hAnsi="Arial" w:cs="Arial"/>
          <w:color w:val="000000"/>
          <w:sz w:val="20"/>
          <w:szCs w:val="20"/>
        </w:rPr>
        <w:t>,</w:t>
      </w:r>
    </w:p>
    <w:p w14:paraId="24B93914" w14:textId="77777777" w:rsidR="00051B4C" w:rsidRPr="003A136C" w:rsidRDefault="00051B4C" w:rsidP="003A136C">
      <w:pPr>
        <w:pStyle w:val="Odstavecseseznamem"/>
        <w:numPr>
          <w:ilvl w:val="0"/>
          <w:numId w:val="12"/>
        </w:numPr>
        <w:spacing w:after="160"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7 uplatněná společností FCC Česká republika, s.r.o. se sídlem České Budějovice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70CF76EA" w14:textId="77777777" w:rsidR="00051B4C" w:rsidRPr="003A136C" w:rsidRDefault="00051B4C" w:rsidP="003A136C">
      <w:pPr>
        <w:pStyle w:val="Odstavecseseznamem"/>
        <w:numPr>
          <w:ilvl w:val="0"/>
          <w:numId w:val="12"/>
        </w:numPr>
        <w:spacing w:line="254" w:lineRule="auto"/>
        <w:ind w:left="567" w:hanging="219"/>
        <w:jc w:val="both"/>
        <w:rPr>
          <w:rFonts w:ascii="Arial" w:hAnsi="Arial" w:cs="Arial"/>
          <w:color w:val="000000"/>
          <w:sz w:val="20"/>
          <w:szCs w:val="20"/>
        </w:rPr>
      </w:pPr>
      <w:r w:rsidRPr="003A136C">
        <w:rPr>
          <w:rFonts w:ascii="Arial" w:hAnsi="Arial" w:cs="Arial"/>
          <w:color w:val="000000"/>
          <w:sz w:val="20"/>
          <w:szCs w:val="20"/>
        </w:rPr>
        <w:t xml:space="preserve">námitka č. 8 uplatněná společností FCC Česká republika, s.r.o. se sídlem Praha – </w:t>
      </w:r>
      <w:r w:rsidRPr="003A136C">
        <w:rPr>
          <w:rFonts w:ascii="Arial" w:hAnsi="Arial" w:cs="Arial"/>
          <w:b/>
          <w:bCs/>
          <w:color w:val="000000"/>
          <w:sz w:val="20"/>
          <w:szCs w:val="20"/>
        </w:rPr>
        <w:t>námitka se zamítá</w:t>
      </w:r>
      <w:r w:rsidRPr="003A136C">
        <w:rPr>
          <w:rFonts w:ascii="Arial" w:hAnsi="Arial" w:cs="Arial"/>
          <w:color w:val="000000"/>
          <w:sz w:val="20"/>
          <w:szCs w:val="20"/>
        </w:rPr>
        <w:t>;</w:t>
      </w:r>
    </w:p>
    <w:p w14:paraId="6211D702" w14:textId="77777777" w:rsidR="00051B4C" w:rsidRPr="003A136C" w:rsidRDefault="00051B4C" w:rsidP="003A136C">
      <w:pPr>
        <w:pStyle w:val="KUJKdoplnek2"/>
        <w:rPr>
          <w:rFonts w:cs="Arial"/>
        </w:rPr>
      </w:pPr>
      <w:r w:rsidRPr="003A136C">
        <w:rPr>
          <w:rFonts w:cs="Arial"/>
        </w:rPr>
        <w:t>vydává</w:t>
      </w:r>
    </w:p>
    <w:p w14:paraId="6172460F"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11. aktualizaci Zásad územního rozvoje Jihočeského kraje po ověření podle § 41 odst. 2 zákona č. 183/2006 Sb., o územním plánování a stavebním řádu, ve znění pozdějších předpisů (dále jen „stavební zákon“), že návrh 11. aktualizace Zásad územního rozvoje Jihočeského kraje není v rozporu s platnou Politikou územního rozvoje České republiky, se stanovisky dotčených orgánů a se stanoviskem Ministerstva pro místní rozvoj, jako orgán příslušný podle ustanovení § 7 odst. 2 písm. a) stavebního zákona a v souladu s</w:t>
      </w:r>
      <w:r>
        <w:rPr>
          <w:rFonts w:ascii="Arial" w:hAnsi="Arial" w:cs="Arial"/>
          <w:color w:val="000000"/>
          <w:sz w:val="20"/>
          <w:szCs w:val="20"/>
        </w:rPr>
        <w:t> </w:t>
      </w:r>
      <w:r w:rsidRPr="003A136C">
        <w:rPr>
          <w:rFonts w:ascii="Arial" w:hAnsi="Arial" w:cs="Arial"/>
          <w:color w:val="000000"/>
          <w:sz w:val="20"/>
          <w:szCs w:val="20"/>
        </w:rPr>
        <w:t xml:space="preserve">ustanoveními § 171 až 174 správního řádu; </w:t>
      </w:r>
    </w:p>
    <w:p w14:paraId="77F6A196" w14:textId="77777777" w:rsidR="00051B4C" w:rsidRDefault="00051B4C" w:rsidP="00C546A5">
      <w:pPr>
        <w:pStyle w:val="KUJKdoplnek2"/>
      </w:pPr>
      <w:r>
        <w:t>deklaruje,</w:t>
      </w:r>
    </w:p>
    <w:p w14:paraId="4BA1E629"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že je připraveno zahájit proces pořízení aktualizace Zásad územního rozvoje Jihočeského kraje týkající se prověření vymezení plochy pro zařízení pro energetické využití odpadu o roční kapacitě vyšší než 50.000 t energeticky využitelných odpadů, který bude zároveň v souladu s koncepčními materiály Jihočeského kraje (Plán odpadového hospodářství Jihočeského kraje, Svozová studie odpadu do ZEVO Jihočeský kraj), a to  neprodleně po předložení kladného stanoviska EIA na takový záměr, a to buď na návrh oprávněného investora doručený společně se stanoviskem EIA nebo z vlastního podnětu;</w:t>
      </w:r>
    </w:p>
    <w:p w14:paraId="1D0797AD" w14:textId="77777777" w:rsidR="00051B4C" w:rsidRPr="003A136C" w:rsidRDefault="00051B4C" w:rsidP="00C546A5">
      <w:pPr>
        <w:pStyle w:val="KUJKdoplnek2"/>
        <w:rPr>
          <w:rFonts w:cs="Arial"/>
        </w:rPr>
      </w:pPr>
      <w:r w:rsidRPr="003A136C">
        <w:rPr>
          <w:rFonts w:cs="Arial"/>
        </w:rPr>
        <w:t>ukládá</w:t>
      </w:r>
    </w:p>
    <w:p w14:paraId="47528716" w14:textId="77777777" w:rsidR="00051B4C" w:rsidRPr="003A136C" w:rsidRDefault="00051B4C" w:rsidP="003A136C">
      <w:pPr>
        <w:pStyle w:val="Odstavecseseznamem"/>
        <w:ind w:left="0"/>
        <w:jc w:val="both"/>
        <w:rPr>
          <w:rFonts w:ascii="Arial" w:hAnsi="Arial" w:cs="Arial"/>
          <w:color w:val="000000"/>
          <w:sz w:val="20"/>
          <w:szCs w:val="20"/>
        </w:rPr>
      </w:pPr>
      <w:r w:rsidRPr="003A136C">
        <w:rPr>
          <w:rFonts w:ascii="Arial" w:hAnsi="Arial" w:cs="Arial"/>
          <w:color w:val="000000"/>
          <w:sz w:val="20"/>
          <w:szCs w:val="20"/>
        </w:rPr>
        <w:t>JUDr. Lukáši Glaserovi, řediteli krajského úřadu, zajistit nabytí účinnosti 11. aktualizace Zásad územního rozvoje Jihočeského kraje, její zapsání v evidenci územně plánovací činnosti, předání příslušným úřadům dle § 164 odst. 1 stavebního zákona a zveřejnění dle § 164 odst. 2 stavebního zákona.</w:t>
      </w:r>
    </w:p>
    <w:p w14:paraId="44153C85" w14:textId="77777777" w:rsidR="00051B4C" w:rsidRDefault="00051B4C" w:rsidP="00051B4C">
      <w:pPr>
        <w:pStyle w:val="KUJKPolozka"/>
        <w:numPr>
          <w:ilvl w:val="0"/>
          <w:numId w:val="15"/>
        </w:numPr>
        <w:rPr>
          <w:rFonts w:cs="Arial"/>
          <w:b w:val="0"/>
        </w:rPr>
      </w:pPr>
      <w:r>
        <w:rPr>
          <w:rFonts w:cs="Arial"/>
          <w:b w:val="0"/>
        </w:rPr>
        <w:t>T: 31.7.2023</w:t>
      </w:r>
    </w:p>
    <w:p w14:paraId="7DBF98DF" w14:textId="77777777" w:rsidR="00051B4C" w:rsidRDefault="00051B4C" w:rsidP="0012542D">
      <w:pPr>
        <w:pStyle w:val="KUJKnormal"/>
      </w:pPr>
    </w:p>
    <w:p w14:paraId="3A58AC0E" w14:textId="77777777" w:rsidR="00051B4C" w:rsidRDefault="00051B4C" w:rsidP="0012542D">
      <w:pPr>
        <w:pStyle w:val="KUJKnormal"/>
      </w:pPr>
    </w:p>
    <w:p w14:paraId="76CD7777" w14:textId="77777777" w:rsidR="00051B4C" w:rsidRDefault="00051B4C" w:rsidP="003A136C">
      <w:pPr>
        <w:pStyle w:val="KUJKmezeraDZ"/>
      </w:pPr>
      <w:bookmarkStart w:id="1" w:name="US_DuvodZprava"/>
      <w:bookmarkEnd w:id="1"/>
    </w:p>
    <w:p w14:paraId="436CFD07" w14:textId="77777777" w:rsidR="00051B4C" w:rsidRDefault="00051B4C" w:rsidP="003A136C">
      <w:pPr>
        <w:pStyle w:val="KUJKnadpisDZ"/>
      </w:pPr>
      <w:r>
        <w:t>DŮVODOVÁ ZPRÁVA</w:t>
      </w:r>
    </w:p>
    <w:p w14:paraId="4733C57E" w14:textId="77777777" w:rsidR="00051B4C" w:rsidRPr="009B7B0B" w:rsidRDefault="00051B4C" w:rsidP="003A136C">
      <w:pPr>
        <w:pStyle w:val="KUJKmezeraDZ"/>
      </w:pPr>
    </w:p>
    <w:p w14:paraId="282C4559" w14:textId="77777777" w:rsidR="00051B4C" w:rsidRDefault="00051B4C" w:rsidP="00EF6A1E">
      <w:pPr>
        <w:spacing w:after="120"/>
        <w:jc w:val="both"/>
        <w:rPr>
          <w:rFonts w:ascii="Arial" w:hAnsi="Arial" w:cs="Arial"/>
          <w:sz w:val="20"/>
          <w:szCs w:val="20"/>
        </w:rPr>
      </w:pPr>
      <w:r>
        <w:rPr>
          <w:rFonts w:ascii="Arial" w:hAnsi="Arial" w:cs="Arial"/>
          <w:sz w:val="20"/>
          <w:szCs w:val="20"/>
        </w:rPr>
        <w:t>O pořízení 11. aktualizace Zásad územního rozvoje Jihočeského kraje (dále jen „11. AZÚR“) rozhodlo Zastupitelstvo Jihočeského kraje usnesením č. 361/2022/ZK-22 dne 10. listopadu 2022 na základě návrhu na pořízení aktualizace Zásad územního rozvoje Jihočeského kraje podaného oprávněným investorem (Teplárna České Budějovice, a.s.). Současně Zastupitelstvo Jihočeského kraje rozhodlo, že uvedená aktualizace bude pořizována zkráceným postupem v souladu s § 42a zákona č. 183/2006 Sb., o územním plánování a stavebním řádu, ve znění pozdějších předpisů (dále jen „stavební zákon“).</w:t>
      </w:r>
    </w:p>
    <w:p w14:paraId="456D2140" w14:textId="77777777" w:rsidR="00051B4C" w:rsidRDefault="00051B4C" w:rsidP="00EF6A1E">
      <w:pPr>
        <w:spacing w:after="120"/>
        <w:jc w:val="both"/>
        <w:rPr>
          <w:rFonts w:ascii="Arial" w:hAnsi="Arial" w:cs="Arial"/>
          <w:sz w:val="20"/>
          <w:szCs w:val="20"/>
        </w:rPr>
      </w:pPr>
      <w:r>
        <w:rPr>
          <w:rFonts w:ascii="Arial" w:hAnsi="Arial" w:cs="Arial"/>
          <w:sz w:val="20"/>
          <w:szCs w:val="20"/>
        </w:rPr>
        <w:t xml:space="preserve">V souladu s rozhodnutím zastupitelstva kraje oddělení územního plánování, odboru regionálního rozvoje, územního plánování a stavebního řádu, Krajského úřadu Jihočeského kraje, pořídilo a zpracovalo 11. AZÚR. Zodpovědným projektantem </w:t>
      </w:r>
      <w:r>
        <w:rPr>
          <w:rFonts w:ascii="Arial" w:hAnsi="Arial" w:cs="Arial"/>
          <w:bCs/>
          <w:sz w:val="20"/>
          <w:szCs w:val="20"/>
        </w:rPr>
        <w:t xml:space="preserve">11. AZÚR </w:t>
      </w:r>
      <w:r>
        <w:rPr>
          <w:rFonts w:ascii="Arial" w:hAnsi="Arial" w:cs="Arial"/>
          <w:sz w:val="20"/>
          <w:szCs w:val="20"/>
        </w:rPr>
        <w:t xml:space="preserve">je Ing. arch. Ludmila Šnejdová, autorizovaný architekt, ve spolupráci s Ing. Štěpánem Lukschem (pracovníci oddělení územního plánování). Posouzení vlivu návrhu 11. AZÚR nebylo ze strany Ministerstva životního prostředí požadováno. </w:t>
      </w:r>
    </w:p>
    <w:p w14:paraId="06A17DC1" w14:textId="77777777" w:rsidR="00051B4C" w:rsidRDefault="00051B4C" w:rsidP="00EF6A1E">
      <w:pPr>
        <w:tabs>
          <w:tab w:val="left" w:pos="360"/>
          <w:tab w:val="left" w:pos="1800"/>
        </w:tabs>
        <w:jc w:val="both"/>
        <w:rPr>
          <w:rFonts w:ascii="Arial" w:hAnsi="Arial" w:cs="Arial"/>
          <w:sz w:val="20"/>
          <w:szCs w:val="20"/>
        </w:rPr>
      </w:pPr>
      <w:r>
        <w:rPr>
          <w:rFonts w:ascii="Arial" w:hAnsi="Arial" w:cs="Arial"/>
          <w:sz w:val="20"/>
          <w:szCs w:val="20"/>
        </w:rPr>
        <w:t>Předmětem 11. AZÚR je stanovení nového atributu v oblasti odpadového hospodářství pro zařízení pro energetické využití odpadu, při jehož naplnění se vždy jedná o záměr nadmístního významu. Za záměry nadmístního významu pro tuto oblast odpadového hospodářství jsou považována zařízení pro energetické využití odpadu, jejichž roční kapacita je vyšší než 50.000 t energeticky využitelných odpadů. Zároveň je v návrhu 11. AZÚR vymezena nová rozvojová plocha pro termické využití odpadu k výrobě tepelné a elektrické energie v lokalitě Vráto v Českých Budějovicích (OH1 České Budějovice – ZEVO). Rovněž je v návrhu 11. AZÚR upravena podmínka pro vzájemný překryv záměrů vymezených v Zásadách územního rozvoje Jihočeského kraje, kdy v případě vzájemného překryvu těchto záměrů je nutno zajistit jejich vzájemnou koordinaci.</w:t>
      </w:r>
      <w:bookmarkStart w:id="2" w:name="_Hlk62028183"/>
    </w:p>
    <w:p w14:paraId="7C61FEFF" w14:textId="77777777" w:rsidR="00051B4C" w:rsidRDefault="00051B4C" w:rsidP="00EF6A1E">
      <w:pPr>
        <w:tabs>
          <w:tab w:val="left" w:pos="360"/>
          <w:tab w:val="left" w:pos="1800"/>
        </w:tabs>
        <w:jc w:val="both"/>
        <w:rPr>
          <w:rFonts w:ascii="Arial" w:hAnsi="Arial" w:cs="Arial"/>
          <w:sz w:val="20"/>
          <w:szCs w:val="20"/>
        </w:rPr>
      </w:pPr>
    </w:p>
    <w:p w14:paraId="56806B14" w14:textId="77777777" w:rsidR="00051B4C" w:rsidRDefault="00051B4C" w:rsidP="00EF6A1E">
      <w:pPr>
        <w:tabs>
          <w:tab w:val="left" w:pos="360"/>
          <w:tab w:val="left" w:pos="1800"/>
        </w:tabs>
        <w:jc w:val="both"/>
        <w:rPr>
          <w:rFonts w:ascii="Arial" w:hAnsi="Arial" w:cs="Arial"/>
          <w:sz w:val="20"/>
          <w:szCs w:val="20"/>
        </w:rPr>
      </w:pPr>
      <w:r>
        <w:rPr>
          <w:rFonts w:ascii="Arial" w:hAnsi="Arial" w:cs="Arial"/>
          <w:sz w:val="20"/>
          <w:szCs w:val="20"/>
        </w:rPr>
        <w:t>Návrh 11. AZÚR byl pořízen v souladu s právními předpisy</w:t>
      </w:r>
      <w:bookmarkEnd w:id="2"/>
      <w:r>
        <w:rPr>
          <w:rFonts w:ascii="Arial" w:hAnsi="Arial" w:cs="Arial"/>
          <w:sz w:val="20"/>
          <w:szCs w:val="20"/>
        </w:rPr>
        <w:t>:</w:t>
      </w:r>
    </w:p>
    <w:p w14:paraId="1798D495" w14:textId="77777777" w:rsidR="00051B4C" w:rsidRDefault="00051B4C" w:rsidP="00EF6A1E">
      <w:pPr>
        <w:pStyle w:val="Odstavecseseznamem"/>
        <w:numPr>
          <w:ilvl w:val="0"/>
          <w:numId w:val="13"/>
        </w:numPr>
        <w:tabs>
          <w:tab w:val="left" w:pos="360"/>
          <w:tab w:val="left" w:pos="709"/>
        </w:tabs>
        <w:jc w:val="both"/>
        <w:rPr>
          <w:rFonts w:ascii="Arial" w:hAnsi="Arial" w:cs="Arial"/>
          <w:sz w:val="20"/>
          <w:szCs w:val="20"/>
        </w:rPr>
      </w:pPr>
      <w:r>
        <w:rPr>
          <w:rFonts w:ascii="Arial" w:hAnsi="Arial" w:cs="Arial"/>
          <w:sz w:val="20"/>
          <w:szCs w:val="20"/>
        </w:rPr>
        <w:t xml:space="preserve">Veřejné projednání </w:t>
      </w:r>
      <w:r>
        <w:rPr>
          <w:rFonts w:ascii="Arial" w:hAnsi="Arial" w:cs="Arial"/>
          <w:iCs/>
          <w:sz w:val="20"/>
          <w:szCs w:val="20"/>
        </w:rPr>
        <w:t>návrhu 11. AZÚR se konalo dne 16. března 2023;</w:t>
      </w:r>
      <w:r>
        <w:rPr>
          <w:rFonts w:ascii="Arial" w:hAnsi="Arial" w:cs="Arial"/>
          <w:sz w:val="20"/>
          <w:szCs w:val="20"/>
        </w:rPr>
        <w:t xml:space="preserve"> k návrhu</w:t>
      </w:r>
      <w:r>
        <w:rPr>
          <w:rFonts w:ascii="Arial" w:hAnsi="Arial" w:cs="Arial"/>
          <w:iCs/>
          <w:sz w:val="20"/>
          <w:szCs w:val="20"/>
        </w:rPr>
        <w:t> bylo uplatněno 8 námitek a 10 připomínek (návrh rozhodnutí o námitkách a návrh vyhodnocení připomínek je vložen do bodu 8 a 9 odůvodnění návrhu 11. AZÚR).</w:t>
      </w:r>
    </w:p>
    <w:p w14:paraId="5D200456" w14:textId="77777777" w:rsidR="00051B4C" w:rsidRDefault="00051B4C" w:rsidP="00EF6A1E">
      <w:pPr>
        <w:pStyle w:val="RURUnormalni"/>
        <w:numPr>
          <w:ilvl w:val="0"/>
          <w:numId w:val="14"/>
        </w:numPr>
        <w:tabs>
          <w:tab w:val="left" w:pos="360"/>
          <w:tab w:val="left" w:pos="709"/>
        </w:tabs>
        <w:rPr>
          <w:rFonts w:ascii="Arial" w:hAnsi="Arial"/>
        </w:rPr>
      </w:pPr>
      <w:r>
        <w:rPr>
          <w:rFonts w:ascii="Arial" w:hAnsi="Arial"/>
        </w:rPr>
        <w:t xml:space="preserve">Pořizovatel návrhu 11. AZÚR připravil návrh rozhodnutí o námitkách a návrh vyhodnocení připomínek; tyto návrhy zaslal jednotlivě dotčeným orgánům; ze strany dotčených orgánů nebylo k těmto návrhům </w:t>
      </w:r>
      <w:r w:rsidRPr="00EF6A1E">
        <w:rPr>
          <w:rFonts w:ascii="Arial" w:hAnsi="Arial"/>
          <w:color w:val="000000"/>
        </w:rPr>
        <w:t>uplatněno žádné nesouhlasné stanovisko.</w:t>
      </w:r>
    </w:p>
    <w:p w14:paraId="30533787" w14:textId="77777777" w:rsidR="00051B4C" w:rsidRDefault="00051B4C" w:rsidP="00EF6A1E">
      <w:pPr>
        <w:pStyle w:val="RURUnormalni"/>
        <w:numPr>
          <w:ilvl w:val="0"/>
          <w:numId w:val="14"/>
        </w:numPr>
        <w:tabs>
          <w:tab w:val="left" w:pos="360"/>
          <w:tab w:val="left" w:pos="709"/>
        </w:tabs>
        <w:spacing w:after="120"/>
        <w:rPr>
          <w:rFonts w:ascii="Arial" w:hAnsi="Arial"/>
        </w:rPr>
      </w:pPr>
      <w:r>
        <w:rPr>
          <w:rFonts w:ascii="Arial" w:hAnsi="Arial"/>
        </w:rPr>
        <w:t xml:space="preserve">Na základě vyhodnocení uplatněných námitek a připomínek byl návrh 11. AZÚR upraven tak, aby byla zcela zajištěna jeho jednoznačnost a srozumitelnost (sjednocení použité terminologie), a dále bylo dopracováno odůvodnění ve vztahu k namítaným skutečnostem v námitkách a připomínkách. Úpravy neměly zásadní dopad do vlastního návrhu 11. AZÚR, nedošlo k podstatné úpravě návrhu ani nebylo nutné návrh zcela přepracovat, a bylo tak možné přistoupit k vydání 11. AZÚR.  </w:t>
      </w:r>
    </w:p>
    <w:p w14:paraId="0385F92F" w14:textId="77777777" w:rsidR="00051B4C" w:rsidRDefault="00051B4C" w:rsidP="00EF6A1E">
      <w:pPr>
        <w:pStyle w:val="RURUnormalni"/>
        <w:spacing w:after="120"/>
        <w:rPr>
          <w:rFonts w:ascii="Arial" w:hAnsi="Arial"/>
        </w:rPr>
      </w:pPr>
      <w:r>
        <w:rPr>
          <w:rFonts w:ascii="Arial" w:hAnsi="Arial"/>
        </w:rPr>
        <w:t>Pořizovatel před vydáním 11. AZÚR s odkazem na § 41 odst. 2 stavebního zákona ověřil, že aktualizace není v rozporu s politikou územního rozvoje, s územním rozvojovým plánem, se stanovisky dotčených orgánů nebo výsledkem řešení rozporů a se stanoviskem Ministerstva pro místní rozvoj. Splnění všech těchto ověření je součástí vlastního návrhu 11. AZÚR, konkrétně jejího odůvodnění v kapitole 2 „</w:t>
      </w:r>
      <w:r>
        <w:rPr>
          <w:rFonts w:ascii="Arial" w:hAnsi="Arial"/>
          <w:i/>
          <w:iCs/>
        </w:rPr>
        <w:t>Výsledek přezkoumání 11. aktualizace Zásad územního rozvoje Jihočeského kraje podle § 40 odst. 1 a 2 stavebního zákona</w:t>
      </w:r>
      <w:r>
        <w:rPr>
          <w:rFonts w:ascii="Arial" w:hAnsi="Arial"/>
        </w:rPr>
        <w:t>“.</w:t>
      </w:r>
    </w:p>
    <w:p w14:paraId="45B529F6" w14:textId="77777777" w:rsidR="00051B4C" w:rsidRPr="00EF6A1E" w:rsidRDefault="00051B4C" w:rsidP="00EF6A1E">
      <w:pPr>
        <w:pStyle w:val="KUJKnormal"/>
        <w:rPr>
          <w:rFonts w:cs="Arial"/>
          <w:color w:val="000000"/>
          <w:szCs w:val="20"/>
        </w:rPr>
      </w:pPr>
      <w:r w:rsidRPr="00EF6A1E">
        <w:rPr>
          <w:rFonts w:cs="Arial"/>
          <w:color w:val="000000"/>
          <w:szCs w:val="20"/>
        </w:rPr>
        <w:t>Návrh 11. AZÚR pro vydání (stejně jako verze pro veřejné projednání) je k dispozici na:</w:t>
      </w:r>
    </w:p>
    <w:p w14:paraId="52178A73" w14:textId="77777777" w:rsidR="00051B4C" w:rsidRDefault="00051B4C" w:rsidP="00EF6A1E">
      <w:pPr>
        <w:rPr>
          <w:rFonts w:ascii="Arial" w:hAnsi="Arial" w:cs="Arial"/>
          <w:color w:val="1F497D"/>
          <w:sz w:val="20"/>
          <w:szCs w:val="20"/>
        </w:rPr>
      </w:pPr>
      <w:hyperlink r:id="rId7" w:history="1">
        <w:r>
          <w:rPr>
            <w:rStyle w:val="Hypertextovodkaz"/>
            <w:rFonts w:ascii="Arial" w:hAnsi="Arial" w:cs="Arial"/>
            <w:sz w:val="20"/>
            <w:szCs w:val="20"/>
          </w:rPr>
          <w:t>https://geoportal.kraj-jihocesky.gov.cz/portal/uzemni-planovani/jihocesky-kraj/zasady-uzemniho-rozvoje-jihoceskeho-kraje/11aktualizace-zur</w:t>
        </w:r>
      </w:hyperlink>
    </w:p>
    <w:p w14:paraId="6C272D93" w14:textId="77777777" w:rsidR="00051B4C" w:rsidRDefault="00051B4C" w:rsidP="00EF6A1E">
      <w:pPr>
        <w:spacing w:before="120" w:after="120"/>
        <w:jc w:val="both"/>
        <w:rPr>
          <w:rFonts w:ascii="Arial" w:hAnsi="Arial" w:cs="Arial"/>
          <w:sz w:val="20"/>
          <w:szCs w:val="20"/>
        </w:rPr>
      </w:pPr>
      <w:bookmarkStart w:id="3" w:name="_Hlk62028655"/>
      <w:r>
        <w:rPr>
          <w:rFonts w:ascii="Arial" w:hAnsi="Arial" w:cs="Arial"/>
          <w:sz w:val="20"/>
          <w:szCs w:val="20"/>
        </w:rPr>
        <w:t>K vydání zásad územního rozvoje i jejich aktualizace je podle § 7 odst. 2 písm. a) stavebního zákona příslušné zastupitelstvo kraje, které je dle § 172 odst. 5 zákona č. 500/2004, správní řád, v platném znění, rovněž příslušné k rozhodnutí o uplatněných námitkách.</w:t>
      </w:r>
    </w:p>
    <w:p w14:paraId="360C4B67" w14:textId="77777777" w:rsidR="00051B4C" w:rsidRDefault="00051B4C" w:rsidP="00EF6A1E">
      <w:pPr>
        <w:jc w:val="both"/>
        <w:rPr>
          <w:rFonts w:ascii="Arial" w:hAnsi="Arial" w:cs="Arial"/>
          <w:sz w:val="20"/>
          <w:szCs w:val="20"/>
        </w:rPr>
      </w:pPr>
      <w:r>
        <w:rPr>
          <w:rFonts w:ascii="Arial" w:hAnsi="Arial" w:cs="Arial"/>
          <w:sz w:val="20"/>
          <w:szCs w:val="20"/>
        </w:rPr>
        <w:t xml:space="preserve">Protože byly splněny všechny zákonné podmínky pro předložení 11. AZÚR k jejich vydání Zastupitelstvem Jihočeského kraje, je možné návrh v souladu s ustanovením § 41 stavebního zákona předložit zastupitelstvu kraje k vydání na jednání dne 22. 6. 2023. </w:t>
      </w:r>
      <w:bookmarkEnd w:id="3"/>
    </w:p>
    <w:p w14:paraId="10B57095" w14:textId="77777777" w:rsidR="00051B4C" w:rsidRDefault="00051B4C" w:rsidP="0012542D">
      <w:pPr>
        <w:pStyle w:val="KUJKnormal"/>
      </w:pPr>
    </w:p>
    <w:p w14:paraId="1BACC685" w14:textId="77777777" w:rsidR="00051B4C" w:rsidRDefault="00051B4C" w:rsidP="0012542D">
      <w:pPr>
        <w:pStyle w:val="KUJKnormal"/>
      </w:pPr>
    </w:p>
    <w:p w14:paraId="4E488D3E" w14:textId="77777777" w:rsidR="00051B4C" w:rsidRDefault="00051B4C" w:rsidP="0012542D">
      <w:pPr>
        <w:pStyle w:val="KUJKnormal"/>
      </w:pPr>
      <w:r>
        <w:t>Finanční nároky a krytí:</w:t>
      </w:r>
      <w:r w:rsidRPr="00EF6A1E">
        <w:rPr>
          <w:rFonts w:cs="Arial"/>
        </w:rPr>
        <w:t xml:space="preserve"> </w:t>
      </w:r>
      <w:r>
        <w:rPr>
          <w:rFonts w:cs="Arial"/>
        </w:rPr>
        <w:t>Bez nároku na rozpočet kraje.</w:t>
      </w:r>
    </w:p>
    <w:p w14:paraId="505F74D0" w14:textId="77777777" w:rsidR="00051B4C" w:rsidRDefault="00051B4C" w:rsidP="0012542D">
      <w:pPr>
        <w:pStyle w:val="KUJKnormal"/>
      </w:pPr>
    </w:p>
    <w:p w14:paraId="791141FA" w14:textId="77777777" w:rsidR="00051B4C" w:rsidRDefault="00051B4C" w:rsidP="0012542D">
      <w:pPr>
        <w:pStyle w:val="KUJKnormal"/>
      </w:pPr>
    </w:p>
    <w:p w14:paraId="261CFBAC" w14:textId="77777777" w:rsidR="00051B4C" w:rsidRDefault="00051B4C" w:rsidP="0012542D">
      <w:pPr>
        <w:pStyle w:val="KUJKnormal"/>
      </w:pPr>
      <w:r>
        <w:t>Vyjádření správce rozpočtu:</w:t>
      </w:r>
    </w:p>
    <w:p w14:paraId="40EFC608" w14:textId="77777777" w:rsidR="00051B4C" w:rsidRDefault="00051B4C" w:rsidP="0012542D">
      <w:pPr>
        <w:pStyle w:val="KUJKnormal"/>
      </w:pPr>
    </w:p>
    <w:p w14:paraId="498D04DC" w14:textId="77777777" w:rsidR="00051B4C" w:rsidRDefault="00051B4C" w:rsidP="0012542D">
      <w:pPr>
        <w:pStyle w:val="KUJKnormal"/>
      </w:pPr>
    </w:p>
    <w:p w14:paraId="4200519A" w14:textId="77777777" w:rsidR="00051B4C" w:rsidRDefault="00051B4C" w:rsidP="0012542D">
      <w:pPr>
        <w:pStyle w:val="KUJKnormal"/>
      </w:pPr>
      <w:r>
        <w:t xml:space="preserve">Návrh projednán (stanoviska): Návrh projednán v Radě Jihočeského kraje – usnesení č. 699/2023/RK-69 ze dne 8. 6. 2023 </w:t>
      </w:r>
    </w:p>
    <w:p w14:paraId="21474715" w14:textId="77777777" w:rsidR="00051B4C" w:rsidRDefault="00051B4C" w:rsidP="0012542D">
      <w:pPr>
        <w:pStyle w:val="KUJKnormal"/>
      </w:pPr>
    </w:p>
    <w:p w14:paraId="467EA4B4" w14:textId="77777777" w:rsidR="00051B4C" w:rsidRDefault="00051B4C" w:rsidP="0012542D">
      <w:pPr>
        <w:pStyle w:val="KUJKnormal"/>
      </w:pPr>
    </w:p>
    <w:p w14:paraId="03817073" w14:textId="77777777" w:rsidR="00051B4C" w:rsidRPr="007939A8" w:rsidRDefault="00051B4C" w:rsidP="0012542D">
      <w:pPr>
        <w:pStyle w:val="KUJKtucny"/>
      </w:pPr>
      <w:r w:rsidRPr="007939A8">
        <w:t>PŘÍLOHY:</w:t>
      </w:r>
    </w:p>
    <w:p w14:paraId="17C3A433" w14:textId="77777777" w:rsidR="00051B4C" w:rsidRDefault="00051B4C" w:rsidP="00EF6A1E">
      <w:pPr>
        <w:pStyle w:val="KUJKnormal"/>
        <w:rPr>
          <w:rFonts w:cs="Arial"/>
        </w:rPr>
      </w:pPr>
      <w:r>
        <w:rPr>
          <w:rFonts w:cs="Arial"/>
        </w:rPr>
        <w:t>Návrh 11. AZÚR, včetně návrhu rozhodnutí o námitkách (bod 8 návrhu 11. AZÚR) a návrhu vyhodnocení připomínek (bod 9 návrhu 11. AZÚR) – verze pro vydání (elektronicky)</w:t>
      </w:r>
    </w:p>
    <w:p w14:paraId="477F09C0" w14:textId="77777777" w:rsidR="00051B4C" w:rsidRDefault="00051B4C" w:rsidP="0012542D">
      <w:pPr>
        <w:pStyle w:val="KUJKnormal"/>
      </w:pPr>
    </w:p>
    <w:p w14:paraId="6FA5E0B1" w14:textId="77777777" w:rsidR="00051B4C" w:rsidRDefault="00051B4C" w:rsidP="0012542D">
      <w:pPr>
        <w:pStyle w:val="KUJKnormal"/>
      </w:pPr>
    </w:p>
    <w:p w14:paraId="49A9CD41" w14:textId="77777777" w:rsidR="00051B4C" w:rsidRPr="007C1EE7" w:rsidRDefault="00051B4C" w:rsidP="0012542D">
      <w:pPr>
        <w:pStyle w:val="KUJKtucny"/>
      </w:pPr>
      <w:r w:rsidRPr="007C1EE7">
        <w:t>Zodpovídá:</w:t>
      </w:r>
      <w:r w:rsidRPr="00EF6A1E">
        <w:rPr>
          <w:rFonts w:cs="Arial"/>
        </w:rPr>
        <w:t xml:space="preserve"> </w:t>
      </w:r>
      <w:r>
        <w:rPr>
          <w:rFonts w:cs="Arial"/>
        </w:rPr>
        <w:t>Ing. arch. Petr Hornát, vedoucí OREG</w:t>
      </w:r>
    </w:p>
    <w:p w14:paraId="12340045" w14:textId="77777777" w:rsidR="00051B4C" w:rsidRDefault="00051B4C" w:rsidP="0012542D">
      <w:pPr>
        <w:pStyle w:val="KUJKnormal"/>
      </w:pPr>
    </w:p>
    <w:p w14:paraId="6FFB1FBF" w14:textId="77777777" w:rsidR="00051B4C" w:rsidRDefault="00051B4C" w:rsidP="0012542D">
      <w:pPr>
        <w:pStyle w:val="KUJKnormal"/>
      </w:pPr>
      <w:r>
        <w:t>Termín kontroly: 7. 8. 2023</w:t>
      </w:r>
    </w:p>
    <w:p w14:paraId="0FFDC392" w14:textId="77777777" w:rsidR="00051B4C" w:rsidRDefault="00051B4C" w:rsidP="0012542D">
      <w:pPr>
        <w:pStyle w:val="KUJKnormal"/>
      </w:pPr>
      <w:r>
        <w:t>Termín splnění: 31. 7. 2023</w:t>
      </w:r>
    </w:p>
    <w:p w14:paraId="15448225" w14:textId="77777777" w:rsidR="00051B4C" w:rsidRDefault="00051B4C"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4326" w14:textId="77777777" w:rsidR="00051B4C" w:rsidRDefault="00051B4C" w:rsidP="00051B4C">
    <w:r>
      <w:rPr>
        <w:noProof/>
      </w:rPr>
      <w:pict w14:anchorId="544B4A6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0EAAAA6" w14:textId="77777777" w:rsidR="00051B4C" w:rsidRPr="005F485E" w:rsidRDefault="00051B4C" w:rsidP="00051B4C">
                <w:pPr>
                  <w:spacing w:after="60"/>
                  <w:rPr>
                    <w:rFonts w:ascii="Arial" w:hAnsi="Arial" w:cs="Arial"/>
                    <w:b/>
                    <w:sz w:val="22"/>
                  </w:rPr>
                </w:pPr>
                <w:r w:rsidRPr="005F485E">
                  <w:rPr>
                    <w:rFonts w:ascii="Arial" w:hAnsi="Arial" w:cs="Arial"/>
                    <w:b/>
                    <w:sz w:val="22"/>
                  </w:rPr>
                  <w:t>ZASTUPITELSTVO JIHOČESKÉHO KRAJE</w:t>
                </w:r>
              </w:p>
              <w:p w14:paraId="75A19099" w14:textId="77777777" w:rsidR="00051B4C" w:rsidRPr="005F485E" w:rsidRDefault="00051B4C" w:rsidP="00051B4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7731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E34F78C" w14:textId="77777777" w:rsidR="00051B4C" w:rsidRDefault="00051B4C" w:rsidP="00051B4C">
    <w:r>
      <w:pict w14:anchorId="46100DB5">
        <v:rect id="_x0000_i1026" style="width:481.9pt;height:2pt" o:hralign="center" o:hrstd="t" o:hrnoshade="t" o:hr="t" fillcolor="black" stroked="f"/>
      </w:pict>
    </w:r>
  </w:p>
  <w:p w14:paraId="037A9FEB" w14:textId="77777777" w:rsidR="00051B4C" w:rsidRPr="00051B4C" w:rsidRDefault="00051B4C" w:rsidP="00051B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C21767"/>
    <w:multiLevelType w:val="hybridMultilevel"/>
    <w:tmpl w:val="1E2A73E0"/>
    <w:lvl w:ilvl="0" w:tplc="5A9465AE">
      <w:start w:val="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3B309A"/>
    <w:multiLevelType w:val="hybridMultilevel"/>
    <w:tmpl w:val="903489BC"/>
    <w:lvl w:ilvl="0" w:tplc="A2C4C706">
      <w:numFmt w:val="bullet"/>
      <w:lvlText w:val="–"/>
      <w:lvlJc w:val="left"/>
      <w:pPr>
        <w:ind w:left="720" w:hanging="360"/>
      </w:pPr>
      <w:rPr>
        <w:rFonts w:ascii="Calibri" w:eastAsia="Calibri" w:hAnsi="Calibri" w:cs="Calibri" w:hint="default"/>
        <w:i/>
        <w:iCs/>
        <w:w w:val="99"/>
        <w:sz w:val="20"/>
        <w:szCs w:val="20"/>
        <w:lang w:val="cs-CZ" w:eastAsia="en-US" w:bidi="ar-SA"/>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00105C"/>
    <w:multiLevelType w:val="hybridMultilevel"/>
    <w:tmpl w:val="9F64580C"/>
    <w:lvl w:ilvl="0" w:tplc="5A9465AE">
      <w:start w:val="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06331F"/>
    <w:multiLevelType w:val="hybridMultilevel"/>
    <w:tmpl w:val="E7AEBD68"/>
    <w:lvl w:ilvl="0" w:tplc="5A9465AE">
      <w:start w:val="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324044700">
    <w:abstractNumId w:val="2"/>
  </w:num>
  <w:num w:numId="2" w16cid:durableId="1733649291">
    <w:abstractNumId w:val="3"/>
  </w:num>
  <w:num w:numId="3" w16cid:durableId="143816314">
    <w:abstractNumId w:val="12"/>
  </w:num>
  <w:num w:numId="4" w16cid:durableId="43795708">
    <w:abstractNumId w:val="10"/>
  </w:num>
  <w:num w:numId="5" w16cid:durableId="1679850528">
    <w:abstractNumId w:val="0"/>
  </w:num>
  <w:num w:numId="6" w16cid:durableId="1500736282">
    <w:abstractNumId w:val="5"/>
  </w:num>
  <w:num w:numId="7" w16cid:durableId="73553898">
    <w:abstractNumId w:val="9"/>
  </w:num>
  <w:num w:numId="8" w16cid:durableId="229389886">
    <w:abstractNumId w:val="6"/>
  </w:num>
  <w:num w:numId="9" w16cid:durableId="2098865485">
    <w:abstractNumId w:val="7"/>
  </w:num>
  <w:num w:numId="10" w16cid:durableId="695469194">
    <w:abstractNumId w:val="11"/>
  </w:num>
  <w:num w:numId="11" w16cid:durableId="2086414492">
    <w:abstractNumId w:val="13"/>
  </w:num>
  <w:num w:numId="12" w16cid:durableId="380441490">
    <w:abstractNumId w:val="8"/>
  </w:num>
  <w:num w:numId="13" w16cid:durableId="1963879577">
    <w:abstractNumId w:val="4"/>
  </w:num>
  <w:num w:numId="14" w16cid:durableId="1804693595">
    <w:abstractNumId w:val="1"/>
  </w:num>
  <w:num w:numId="15" w16cid:durableId="17962941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1B4C"/>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051B4C"/>
    <w:rPr>
      <w:color w:val="0563C1"/>
      <w:u w:val="single"/>
    </w:rPr>
  </w:style>
  <w:style w:type="character" w:customStyle="1" w:styleId="RURUnormalniChar">
    <w:name w:val="RURU_normalni Char"/>
    <w:link w:val="RURUnormalni"/>
    <w:locked/>
    <w:rsid w:val="00051B4C"/>
    <w:rPr>
      <w:rFonts w:ascii="Cambria" w:hAnsi="Cambria" w:cs="Arial"/>
    </w:rPr>
  </w:style>
  <w:style w:type="paragraph" w:customStyle="1" w:styleId="RURUnormalni">
    <w:name w:val="RURU_normalni"/>
    <w:basedOn w:val="Normln"/>
    <w:link w:val="RURUnormalniChar"/>
    <w:qFormat/>
    <w:rsid w:val="00051B4C"/>
    <w:pPr>
      <w:jc w:val="both"/>
    </w:pPr>
    <w:rPr>
      <w:rFonts w:ascii="Cambria" w:hAnsi="Cambria"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portal.kraj-jihocesky.gov.cz/portal/uzemni-planovani/jihocesky-kraj/zasady-uzemniho-rozvoje-jihoceskeho-kraje/11aktualizace-z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7212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2023-08-30T14:24:00Z</dcterms:created>
  <dcterms:modified xsi:type="dcterms:W3CDTF">2023-08-30T14:24:00Z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6307941</vt:i4>
  </property>
  <property fmtid="{D5CDD505-2E9C-101B-9397-08002B2CF9AE}" pid="4" name="UlozitJako">
    <vt:lpwstr>C:\Users\mrazkova\AppData\Local\Temp\iU29116460\Zastupitelstvo\2023-06-22\Navrhy\225-ZK-23.</vt:lpwstr>
  </property>
  <property fmtid="{D5CDD505-2E9C-101B-9397-08002B2CF9AE}" pid="5" name="Zpracovat">
    <vt:bool>false</vt:bool>
  </property>
</Properties>
</file>