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82567" w14:paraId="46B35315" w14:textId="77777777" w:rsidTr="005C55B5">
        <w:trPr>
          <w:trHeight w:hRule="exact" w:val="397"/>
        </w:trPr>
        <w:tc>
          <w:tcPr>
            <w:tcW w:w="2376" w:type="dxa"/>
            <w:hideMark/>
          </w:tcPr>
          <w:p w14:paraId="11007D0A" w14:textId="77777777" w:rsidR="00282567" w:rsidRDefault="00282567" w:rsidP="009D3EED">
            <w:pPr>
              <w:pStyle w:val="KUJKtucny"/>
            </w:pPr>
            <w:r>
              <w:t>Datum jednání:</w:t>
            </w:r>
          </w:p>
        </w:tc>
        <w:tc>
          <w:tcPr>
            <w:tcW w:w="3828" w:type="dxa"/>
            <w:hideMark/>
          </w:tcPr>
          <w:p w14:paraId="5AC99A3C" w14:textId="77777777" w:rsidR="00282567" w:rsidRDefault="00282567" w:rsidP="009D3EED">
            <w:pPr>
              <w:pStyle w:val="KUJKnormal"/>
            </w:pPr>
            <w:r>
              <w:t>11. 05. 2023</w:t>
            </w:r>
          </w:p>
        </w:tc>
        <w:tc>
          <w:tcPr>
            <w:tcW w:w="2126" w:type="dxa"/>
            <w:hideMark/>
          </w:tcPr>
          <w:p w14:paraId="032ED315" w14:textId="77777777" w:rsidR="00282567" w:rsidRDefault="00282567" w:rsidP="009D3EED">
            <w:pPr>
              <w:pStyle w:val="KUJKtucny"/>
            </w:pPr>
            <w:r>
              <w:t>Bod programu:</w:t>
            </w:r>
          </w:p>
        </w:tc>
        <w:tc>
          <w:tcPr>
            <w:tcW w:w="850" w:type="dxa"/>
          </w:tcPr>
          <w:p w14:paraId="36647398" w14:textId="77777777" w:rsidR="00282567" w:rsidRDefault="00282567" w:rsidP="009D3EED">
            <w:pPr>
              <w:pStyle w:val="KUJKnormal"/>
            </w:pPr>
          </w:p>
        </w:tc>
      </w:tr>
      <w:tr w:rsidR="00282567" w14:paraId="7C503F8C" w14:textId="77777777" w:rsidTr="005C55B5">
        <w:trPr>
          <w:cantSplit/>
          <w:trHeight w:hRule="exact" w:val="397"/>
        </w:trPr>
        <w:tc>
          <w:tcPr>
            <w:tcW w:w="2376" w:type="dxa"/>
            <w:hideMark/>
          </w:tcPr>
          <w:p w14:paraId="68871455" w14:textId="77777777" w:rsidR="00282567" w:rsidRDefault="00282567" w:rsidP="009D3EED">
            <w:pPr>
              <w:pStyle w:val="KUJKtucny"/>
            </w:pPr>
            <w:r>
              <w:t>Číslo návrhu:</w:t>
            </w:r>
          </w:p>
        </w:tc>
        <w:tc>
          <w:tcPr>
            <w:tcW w:w="6804" w:type="dxa"/>
            <w:gridSpan w:val="3"/>
            <w:hideMark/>
          </w:tcPr>
          <w:p w14:paraId="2123FA91" w14:textId="77777777" w:rsidR="00282567" w:rsidRDefault="00282567" w:rsidP="009D3EED">
            <w:pPr>
              <w:pStyle w:val="KUJKnormal"/>
            </w:pPr>
            <w:r>
              <w:t>149/ZK/23</w:t>
            </w:r>
          </w:p>
        </w:tc>
      </w:tr>
      <w:tr w:rsidR="00282567" w14:paraId="27AC8644" w14:textId="77777777" w:rsidTr="005C55B5">
        <w:trPr>
          <w:trHeight w:val="397"/>
        </w:trPr>
        <w:tc>
          <w:tcPr>
            <w:tcW w:w="2376" w:type="dxa"/>
          </w:tcPr>
          <w:p w14:paraId="2DA2EAE0" w14:textId="77777777" w:rsidR="00282567" w:rsidRDefault="00282567" w:rsidP="009D3EED"/>
          <w:p w14:paraId="5E196785" w14:textId="77777777" w:rsidR="00282567" w:rsidRDefault="00282567" w:rsidP="009D3EED">
            <w:pPr>
              <w:pStyle w:val="KUJKtucny"/>
            </w:pPr>
            <w:r>
              <w:t>Název bodu:</w:t>
            </w:r>
          </w:p>
        </w:tc>
        <w:tc>
          <w:tcPr>
            <w:tcW w:w="6804" w:type="dxa"/>
            <w:gridSpan w:val="3"/>
          </w:tcPr>
          <w:p w14:paraId="0FA5327C" w14:textId="77777777" w:rsidR="00282567" w:rsidRDefault="00282567" w:rsidP="009D3EED"/>
          <w:p w14:paraId="4F8E785E" w14:textId="77777777" w:rsidR="00282567" w:rsidRDefault="00282567" w:rsidP="009D3EED">
            <w:pPr>
              <w:pStyle w:val="KUJKtucny"/>
              <w:rPr>
                <w:sz w:val="22"/>
                <w:szCs w:val="22"/>
              </w:rPr>
            </w:pPr>
            <w:r>
              <w:rPr>
                <w:sz w:val="22"/>
                <w:szCs w:val="22"/>
              </w:rPr>
              <w:t xml:space="preserve">Realizace projektu „Kotlíkové dotace pro domácnosti s nižšími příjmy v Jihočeském kraji II.“ v rámci OP Životní prostředí </w:t>
            </w:r>
            <w:r>
              <w:rPr>
                <w:sz w:val="22"/>
                <w:szCs w:val="22"/>
              </w:rPr>
              <w:br/>
              <w:t>2021-2027</w:t>
            </w:r>
          </w:p>
        </w:tc>
      </w:tr>
    </w:tbl>
    <w:p w14:paraId="20A7A98F" w14:textId="77777777" w:rsidR="00282567" w:rsidRDefault="00282567" w:rsidP="005C55B5">
      <w:pPr>
        <w:pStyle w:val="KUJKnormal"/>
        <w:rPr>
          <w:b/>
          <w:bCs/>
        </w:rPr>
      </w:pPr>
      <w:r>
        <w:rPr>
          <w:b/>
          <w:bCs/>
        </w:rPr>
        <w:pict w14:anchorId="5945967E">
          <v:rect id="_x0000_i1029" style="width:453.6pt;height:1.5pt" o:hralign="center" o:hrstd="t" o:hrnoshade="t" o:hr="t" fillcolor="black" stroked="f"/>
        </w:pict>
      </w:r>
    </w:p>
    <w:p w14:paraId="5B209808" w14:textId="77777777" w:rsidR="00282567" w:rsidRDefault="00282567" w:rsidP="005C55B5">
      <w:pPr>
        <w:pStyle w:val="KUJKnormal"/>
      </w:pPr>
    </w:p>
    <w:p w14:paraId="0C7556E2" w14:textId="77777777" w:rsidR="00282567" w:rsidRDefault="00282567" w:rsidP="005C55B5">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282567" w14:paraId="1E25DF15" w14:textId="77777777" w:rsidTr="009D3EED">
        <w:trPr>
          <w:trHeight w:val="397"/>
        </w:trPr>
        <w:tc>
          <w:tcPr>
            <w:tcW w:w="2350" w:type="dxa"/>
            <w:hideMark/>
          </w:tcPr>
          <w:p w14:paraId="0C92C5C4" w14:textId="77777777" w:rsidR="00282567" w:rsidRDefault="00282567" w:rsidP="009D3EED">
            <w:pPr>
              <w:pStyle w:val="KUJKtucny"/>
            </w:pPr>
            <w:r>
              <w:t>Předkladatel:</w:t>
            </w:r>
          </w:p>
        </w:tc>
        <w:tc>
          <w:tcPr>
            <w:tcW w:w="6862" w:type="dxa"/>
          </w:tcPr>
          <w:p w14:paraId="75B9A360" w14:textId="77777777" w:rsidR="00282567" w:rsidRDefault="00282567" w:rsidP="009D3EED">
            <w:pPr>
              <w:pStyle w:val="KUJKnormal"/>
            </w:pPr>
            <w:r>
              <w:t>Pavel Hroch</w:t>
            </w:r>
          </w:p>
          <w:p w14:paraId="6DBD9C66" w14:textId="77777777" w:rsidR="00282567" w:rsidRDefault="00282567" w:rsidP="009D3EED"/>
        </w:tc>
      </w:tr>
      <w:tr w:rsidR="00282567" w14:paraId="5592628F" w14:textId="77777777" w:rsidTr="009D3EED">
        <w:trPr>
          <w:trHeight w:val="397"/>
        </w:trPr>
        <w:tc>
          <w:tcPr>
            <w:tcW w:w="2350" w:type="dxa"/>
          </w:tcPr>
          <w:p w14:paraId="2DEBDD01" w14:textId="77777777" w:rsidR="00282567" w:rsidRDefault="00282567" w:rsidP="009D3EED">
            <w:pPr>
              <w:pStyle w:val="KUJKtucny"/>
            </w:pPr>
            <w:r>
              <w:t>Zpracoval:</w:t>
            </w:r>
          </w:p>
          <w:p w14:paraId="4C8A47EE" w14:textId="77777777" w:rsidR="00282567" w:rsidRDefault="00282567" w:rsidP="009D3EED"/>
        </w:tc>
        <w:tc>
          <w:tcPr>
            <w:tcW w:w="6862" w:type="dxa"/>
            <w:hideMark/>
          </w:tcPr>
          <w:p w14:paraId="6FF643C2" w14:textId="77777777" w:rsidR="00282567" w:rsidRDefault="00282567" w:rsidP="009D3EED">
            <w:pPr>
              <w:pStyle w:val="KUJKnormal"/>
            </w:pPr>
            <w:r>
              <w:t>OEZI</w:t>
            </w:r>
          </w:p>
        </w:tc>
      </w:tr>
      <w:tr w:rsidR="00282567" w14:paraId="4C776B84" w14:textId="77777777" w:rsidTr="009D3EED">
        <w:trPr>
          <w:trHeight w:val="397"/>
        </w:trPr>
        <w:tc>
          <w:tcPr>
            <w:tcW w:w="2350" w:type="dxa"/>
          </w:tcPr>
          <w:p w14:paraId="6BDBF62B" w14:textId="77777777" w:rsidR="00282567" w:rsidRPr="009715F9" w:rsidRDefault="00282567" w:rsidP="009D3EED">
            <w:pPr>
              <w:pStyle w:val="KUJKnormal"/>
              <w:rPr>
                <w:b/>
              </w:rPr>
            </w:pPr>
            <w:r w:rsidRPr="009715F9">
              <w:rPr>
                <w:b/>
              </w:rPr>
              <w:t>Vedoucí odboru:</w:t>
            </w:r>
          </w:p>
          <w:p w14:paraId="707FB0E0" w14:textId="77777777" w:rsidR="00282567" w:rsidRDefault="00282567" w:rsidP="009D3EED"/>
        </w:tc>
        <w:tc>
          <w:tcPr>
            <w:tcW w:w="6862" w:type="dxa"/>
            <w:hideMark/>
          </w:tcPr>
          <w:p w14:paraId="6DB178E2" w14:textId="77777777" w:rsidR="00282567" w:rsidRDefault="00282567" w:rsidP="009D3EED">
            <w:pPr>
              <w:pStyle w:val="KUJKnormal"/>
            </w:pPr>
            <w:r>
              <w:t>Ing. Jan Návara</w:t>
            </w:r>
          </w:p>
        </w:tc>
      </w:tr>
    </w:tbl>
    <w:p w14:paraId="1C6472B5" w14:textId="77777777" w:rsidR="00282567" w:rsidRDefault="00282567" w:rsidP="005C55B5">
      <w:pPr>
        <w:pStyle w:val="KUJKnormal"/>
      </w:pPr>
    </w:p>
    <w:p w14:paraId="549155BB" w14:textId="77777777" w:rsidR="00282567" w:rsidRDefault="00282567" w:rsidP="007E2A09">
      <w:pPr>
        <w:pStyle w:val="KUJKPolozka"/>
        <w:numPr>
          <w:ilvl w:val="0"/>
          <w:numId w:val="11"/>
        </w:numPr>
        <w:tabs>
          <w:tab w:val="left" w:pos="708"/>
        </w:tabs>
      </w:pPr>
      <w:r>
        <w:t>Zastupitelstvo Jihočeského kraje</w:t>
      </w:r>
    </w:p>
    <w:p w14:paraId="6692C7D0" w14:textId="77777777" w:rsidR="00282567" w:rsidRDefault="00282567" w:rsidP="007E2A09">
      <w:pPr>
        <w:pStyle w:val="KUJKdoplnek2"/>
        <w:numPr>
          <w:ilvl w:val="1"/>
          <w:numId w:val="11"/>
        </w:numPr>
        <w:tabs>
          <w:tab w:val="left" w:pos="284"/>
        </w:tabs>
        <w:ind w:left="284" w:hanging="284"/>
      </w:pPr>
      <w:r>
        <w:t>schvaluje</w:t>
      </w:r>
    </w:p>
    <w:p w14:paraId="28087172" w14:textId="77777777" w:rsidR="00282567" w:rsidRDefault="00282567" w:rsidP="007E2A09">
      <w:pPr>
        <w:pStyle w:val="KUJKnormal"/>
        <w:rPr>
          <w:rFonts w:cs="Arial"/>
          <w:szCs w:val="20"/>
        </w:rPr>
      </w:pPr>
      <w:r>
        <w:rPr>
          <w:rFonts w:cs="Arial"/>
          <w:szCs w:val="20"/>
        </w:rPr>
        <w:t>realizaci projektu Jihočeského kraje „</w:t>
      </w:r>
      <w:r>
        <w:t>Kotlíkové dotace pro domácnosti s nižšími příjmy v Jihočeském kraji II.“</w:t>
      </w:r>
      <w:r>
        <w:rPr>
          <w:rFonts w:cs="Arial"/>
          <w:szCs w:val="20"/>
        </w:rPr>
        <w:t xml:space="preserve"> a podání žádosti o podporu do Operačního programu Životní prostředí 2021-2027 s celkovými způsobilými výdaji 141 400 000,- Kč,</w:t>
      </w:r>
      <w:r>
        <w:rPr>
          <w:szCs w:val="20"/>
        </w:rPr>
        <w:t xml:space="preserve"> s čerpáním dle přílohy č. 1 k návrhu č. 149/ZK/23;</w:t>
      </w:r>
    </w:p>
    <w:p w14:paraId="66F4F80E" w14:textId="77777777" w:rsidR="00282567" w:rsidRDefault="00282567" w:rsidP="007E2A09">
      <w:pPr>
        <w:pStyle w:val="KUJKdoplnek2"/>
        <w:numPr>
          <w:ilvl w:val="0"/>
          <w:numId w:val="0"/>
        </w:numPr>
        <w:tabs>
          <w:tab w:val="left" w:pos="284"/>
        </w:tabs>
      </w:pPr>
      <w:r>
        <w:t>II.</w:t>
      </w:r>
      <w:r>
        <w:tab/>
        <w:t>ukládá</w:t>
      </w:r>
    </w:p>
    <w:p w14:paraId="5EDD2287" w14:textId="77777777" w:rsidR="00282567" w:rsidRDefault="00282567" w:rsidP="007E2A09">
      <w:pPr>
        <w:pStyle w:val="KUJKnormal"/>
      </w:pPr>
      <w:r>
        <w:t>JUDr. Lukáši Glaserovi, řediteli krajského úřadu, zajistit realizaci části I. usnesení.</w:t>
      </w:r>
    </w:p>
    <w:p w14:paraId="64826F08" w14:textId="77777777" w:rsidR="00282567" w:rsidRDefault="00282567" w:rsidP="007E2A09">
      <w:pPr>
        <w:pStyle w:val="KUJKnormal"/>
      </w:pPr>
      <w:r>
        <w:t>T: 31. 12. 2031</w:t>
      </w:r>
    </w:p>
    <w:p w14:paraId="7AEA6583" w14:textId="77777777" w:rsidR="00282567" w:rsidRDefault="00282567" w:rsidP="007E2A09">
      <w:pPr>
        <w:pStyle w:val="KUJKmezeraDZ"/>
      </w:pPr>
    </w:p>
    <w:p w14:paraId="0D454A1B" w14:textId="77777777" w:rsidR="00282567" w:rsidRDefault="00282567" w:rsidP="007E2A09">
      <w:pPr>
        <w:pStyle w:val="KUJKmezeraDZ"/>
      </w:pPr>
    </w:p>
    <w:p w14:paraId="3638967F" w14:textId="77777777" w:rsidR="00282567" w:rsidRDefault="00282567" w:rsidP="007E2A09">
      <w:pPr>
        <w:pStyle w:val="KUJKnadpisDZ"/>
      </w:pPr>
    </w:p>
    <w:p w14:paraId="33F251D1" w14:textId="77777777" w:rsidR="00282567" w:rsidRDefault="00282567" w:rsidP="00C83541">
      <w:pPr>
        <w:pStyle w:val="KUJKmezeraDZ"/>
      </w:pPr>
      <w:bookmarkStart w:id="1" w:name="US_DuvodZprava"/>
      <w:bookmarkEnd w:id="1"/>
    </w:p>
    <w:p w14:paraId="723983EF" w14:textId="77777777" w:rsidR="00282567" w:rsidRDefault="00282567" w:rsidP="00C83541">
      <w:pPr>
        <w:pStyle w:val="KUJKnadpisDZ"/>
      </w:pPr>
      <w:r>
        <w:t>DŮVODOVÁ ZPRÁVA</w:t>
      </w:r>
    </w:p>
    <w:p w14:paraId="23874CD4" w14:textId="77777777" w:rsidR="00282567" w:rsidRPr="009B7B0B" w:rsidRDefault="00282567" w:rsidP="00C83541">
      <w:pPr>
        <w:pStyle w:val="KUJKmezeraDZ"/>
      </w:pPr>
    </w:p>
    <w:p w14:paraId="189B352A" w14:textId="77777777" w:rsidR="00282567" w:rsidRDefault="00282567" w:rsidP="007E2A09">
      <w:pPr>
        <w:pStyle w:val="KUJKmezeraDZ"/>
      </w:pPr>
    </w:p>
    <w:p w14:paraId="15533F10" w14:textId="77777777" w:rsidR="00282567" w:rsidRDefault="00282567" w:rsidP="007E2A09">
      <w:pPr>
        <w:jc w:val="both"/>
        <w:rPr>
          <w:rFonts w:ascii="Arial" w:hAnsi="Arial"/>
          <w:sz w:val="20"/>
          <w:szCs w:val="28"/>
        </w:rPr>
      </w:pPr>
    </w:p>
    <w:p w14:paraId="35A70222" w14:textId="77777777" w:rsidR="00282567" w:rsidRDefault="00282567" w:rsidP="007E2A09">
      <w:pPr>
        <w:jc w:val="both"/>
        <w:rPr>
          <w:rFonts w:ascii="Arial" w:hAnsi="Arial"/>
          <w:sz w:val="20"/>
          <w:szCs w:val="28"/>
        </w:rPr>
      </w:pPr>
      <w:r>
        <w:rPr>
          <w:rFonts w:ascii="Arial" w:hAnsi="Arial"/>
          <w:sz w:val="20"/>
          <w:szCs w:val="28"/>
        </w:rPr>
        <w:t xml:space="preserve">Dne 5. 4. 2023 byla v rámci Operačního programu Životní prostředí 2021-2027 (dále OP ŽP 2021-2027), specifický cíl 1.2, opatření 1.2.3, vyhlášena 2. výzva pro kraje pro předkládání projektů v oblasti snížení emisí z lokálního vytápění domácností, tzv. kotlíkové dotace pro domácnosti s nižšími příjmy. Termín ukončení příjmu žádostí krajů je 30. 6. 2023. Samotný projekt Jihočeského kraje v OP ŽP 2021-2027, který bude stejně jako v přechozích kolech kotlíkových dotací administrovat OEZI, musí být ukončen do </w:t>
      </w:r>
      <w:r>
        <w:rPr>
          <w:rFonts w:ascii="Arial" w:hAnsi="Arial"/>
          <w:sz w:val="20"/>
          <w:szCs w:val="28"/>
        </w:rPr>
        <w:br/>
        <w:t>31. 12. 2026. Závěrečné vyúčtování proběhne v 1. pololetí 2027. Následně bude nutné po dobu 5 let od ukončení projektu kraje zajišťovat udržitelnost projektu formou realizace kontrol na místě.</w:t>
      </w:r>
    </w:p>
    <w:p w14:paraId="6309AA77" w14:textId="77777777" w:rsidR="00282567" w:rsidRDefault="00282567" w:rsidP="007E2A09">
      <w:pPr>
        <w:jc w:val="both"/>
        <w:rPr>
          <w:rFonts w:ascii="Arial" w:hAnsi="Arial"/>
          <w:sz w:val="20"/>
          <w:szCs w:val="28"/>
        </w:rPr>
      </w:pPr>
    </w:p>
    <w:p w14:paraId="04DD8873" w14:textId="77777777" w:rsidR="00282567" w:rsidRDefault="00282567" w:rsidP="007E2A09">
      <w:pPr>
        <w:jc w:val="both"/>
        <w:rPr>
          <w:rFonts w:ascii="Arial" w:hAnsi="Arial"/>
          <w:sz w:val="20"/>
          <w:szCs w:val="28"/>
        </w:rPr>
      </w:pPr>
    </w:p>
    <w:p w14:paraId="41C868DD" w14:textId="77777777" w:rsidR="00282567" w:rsidRDefault="00282567" w:rsidP="007E2A09">
      <w:pPr>
        <w:jc w:val="both"/>
        <w:rPr>
          <w:rFonts w:ascii="Arial" w:hAnsi="Arial"/>
          <w:sz w:val="20"/>
          <w:szCs w:val="28"/>
        </w:rPr>
      </w:pPr>
      <w:r>
        <w:rPr>
          <w:rFonts w:ascii="Arial" w:hAnsi="Arial"/>
          <w:sz w:val="20"/>
          <w:szCs w:val="28"/>
        </w:rPr>
        <w:t xml:space="preserve">Celková alokace 2. výzvy pro kraje pro kotlíkové dotace pro domácnosti s nižšími příjmy v rámci OP ŽP </w:t>
      </w:r>
      <w:r>
        <w:rPr>
          <w:rFonts w:ascii="Arial" w:hAnsi="Arial"/>
          <w:sz w:val="20"/>
          <w:szCs w:val="28"/>
        </w:rPr>
        <w:br/>
        <w:t xml:space="preserve">2021-2027 činí 1,7 mld. Kč, mezi jednotlivé kraje bude v první fázi rozdělena částka 1,4 mld. Kč, a to podle procentuálních poměrů používaných v minulých kolech kotlíkových dotací. Jihočeský kraj tak má nárok požádat si v podaném projektu o 10,1 %, tj. o 141 400 000,- Kč (viz tabulka níže). </w:t>
      </w:r>
    </w:p>
    <w:p w14:paraId="406BABE5" w14:textId="77777777" w:rsidR="00282567" w:rsidRDefault="00282567" w:rsidP="007E2A09">
      <w:pPr>
        <w:jc w:val="both"/>
        <w:rPr>
          <w:rFonts w:ascii="Arial" w:hAnsi="Arial"/>
          <w:sz w:val="20"/>
          <w:szCs w:val="28"/>
        </w:rPr>
      </w:pPr>
    </w:p>
    <w:p w14:paraId="7DAE4036" w14:textId="77777777" w:rsidR="00282567" w:rsidRDefault="00282567" w:rsidP="007E2A09">
      <w:pPr>
        <w:jc w:val="both"/>
        <w:rPr>
          <w:rFonts w:ascii="Arial" w:hAnsi="Arial"/>
          <w:sz w:val="20"/>
          <w:szCs w:val="28"/>
        </w:rPr>
      </w:pPr>
      <w:r>
        <w:rPr>
          <w:rFonts w:ascii="Arial" w:hAnsi="Arial"/>
          <w:sz w:val="20"/>
          <w:szCs w:val="28"/>
        </w:rPr>
        <w:br w:type="page"/>
        <w:t>Podíl jednotlivých krajů na přímo rozdělené alokaci výzvy:</w:t>
      </w:r>
    </w:p>
    <w:tbl>
      <w:tblPr>
        <w:tblW w:w="9851" w:type="dxa"/>
        <w:tblCellMar>
          <w:left w:w="70" w:type="dxa"/>
          <w:right w:w="70" w:type="dxa"/>
        </w:tblCellMar>
        <w:tblLook w:val="04A0" w:firstRow="1" w:lastRow="0" w:firstColumn="1" w:lastColumn="0" w:noHBand="0" w:noVBand="1"/>
      </w:tblPr>
      <w:tblGrid>
        <w:gridCol w:w="3117"/>
        <w:gridCol w:w="3117"/>
        <w:gridCol w:w="3617"/>
      </w:tblGrid>
      <w:tr w:rsidR="00282567" w14:paraId="6A602BC7" w14:textId="77777777" w:rsidTr="007E2A09">
        <w:trPr>
          <w:trHeight w:val="300"/>
        </w:trPr>
        <w:tc>
          <w:tcPr>
            <w:tcW w:w="3117" w:type="dxa"/>
            <w:tcBorders>
              <w:top w:val="single" w:sz="4" w:space="0" w:color="95B3D7"/>
              <w:left w:val="single" w:sz="4" w:space="0" w:color="95B3D7"/>
              <w:bottom w:val="single" w:sz="4" w:space="0" w:color="95B3D7"/>
              <w:right w:val="single" w:sz="4" w:space="0" w:color="4472C4"/>
            </w:tcBorders>
            <w:shd w:val="clear" w:color="auto" w:fill="4F81BD"/>
            <w:noWrap/>
            <w:vAlign w:val="bottom"/>
            <w:hideMark/>
          </w:tcPr>
          <w:p w14:paraId="20E25786" w14:textId="77777777" w:rsidR="00282567" w:rsidRDefault="00282567">
            <w:pPr>
              <w:rPr>
                <w:rFonts w:ascii="Arial" w:hAnsi="Arial"/>
                <w:sz w:val="20"/>
                <w:szCs w:val="28"/>
              </w:rPr>
            </w:pPr>
            <w:r>
              <w:rPr>
                <w:rFonts w:ascii="Arial" w:hAnsi="Arial"/>
                <w:sz w:val="20"/>
                <w:szCs w:val="28"/>
              </w:rPr>
              <w:t>Kraj</w:t>
            </w:r>
          </w:p>
        </w:tc>
        <w:tc>
          <w:tcPr>
            <w:tcW w:w="3117" w:type="dxa"/>
            <w:tcBorders>
              <w:top w:val="single" w:sz="4" w:space="0" w:color="95B3D7"/>
              <w:left w:val="single" w:sz="4" w:space="0" w:color="4472C4"/>
              <w:bottom w:val="single" w:sz="4" w:space="0" w:color="95B3D7"/>
              <w:right w:val="single" w:sz="4" w:space="0" w:color="4472C4"/>
            </w:tcBorders>
            <w:shd w:val="clear" w:color="auto" w:fill="4F81BD"/>
            <w:noWrap/>
            <w:vAlign w:val="bottom"/>
            <w:hideMark/>
          </w:tcPr>
          <w:p w14:paraId="2644658E" w14:textId="77777777" w:rsidR="00282567" w:rsidRDefault="00282567">
            <w:pPr>
              <w:jc w:val="center"/>
              <w:rPr>
                <w:rFonts w:ascii="Arial" w:hAnsi="Arial"/>
                <w:sz w:val="20"/>
                <w:szCs w:val="28"/>
              </w:rPr>
            </w:pPr>
            <w:r>
              <w:rPr>
                <w:rFonts w:ascii="Arial" w:hAnsi="Arial"/>
                <w:sz w:val="20"/>
                <w:szCs w:val="28"/>
              </w:rPr>
              <w:t>Podíl z alokace (%)</w:t>
            </w:r>
          </w:p>
        </w:tc>
        <w:tc>
          <w:tcPr>
            <w:tcW w:w="3617" w:type="dxa"/>
            <w:tcBorders>
              <w:top w:val="single" w:sz="4" w:space="0" w:color="95B3D7"/>
              <w:left w:val="single" w:sz="4" w:space="0" w:color="4472C4"/>
              <w:bottom w:val="single" w:sz="4" w:space="0" w:color="95B3D7"/>
              <w:right w:val="single" w:sz="4" w:space="0" w:color="95B3D7"/>
            </w:tcBorders>
            <w:shd w:val="clear" w:color="auto" w:fill="4F81BD"/>
            <w:noWrap/>
            <w:vAlign w:val="bottom"/>
            <w:hideMark/>
          </w:tcPr>
          <w:p w14:paraId="28F8C311" w14:textId="77777777" w:rsidR="00282567" w:rsidRDefault="00282567">
            <w:pPr>
              <w:jc w:val="center"/>
              <w:rPr>
                <w:rFonts w:ascii="Arial" w:hAnsi="Arial"/>
                <w:sz w:val="20"/>
                <w:szCs w:val="28"/>
              </w:rPr>
            </w:pPr>
            <w:r>
              <w:rPr>
                <w:rFonts w:ascii="Arial" w:hAnsi="Arial"/>
                <w:sz w:val="20"/>
                <w:szCs w:val="28"/>
              </w:rPr>
              <w:t>Podíl z alokace (Kč)</w:t>
            </w:r>
          </w:p>
        </w:tc>
      </w:tr>
      <w:tr w:rsidR="00282567" w14:paraId="3F713C3F" w14:textId="77777777" w:rsidTr="007E2A09">
        <w:trPr>
          <w:trHeight w:val="300"/>
        </w:trPr>
        <w:tc>
          <w:tcPr>
            <w:tcW w:w="3117" w:type="dxa"/>
            <w:tcBorders>
              <w:top w:val="single" w:sz="4" w:space="0" w:color="95B3D7"/>
              <w:left w:val="single" w:sz="4" w:space="0" w:color="95B3D7"/>
              <w:bottom w:val="single" w:sz="4" w:space="0" w:color="95B3D7"/>
              <w:right w:val="single" w:sz="4" w:space="0" w:color="4472C4"/>
            </w:tcBorders>
            <w:shd w:val="clear" w:color="auto" w:fill="DCE6F1"/>
            <w:noWrap/>
            <w:vAlign w:val="bottom"/>
            <w:hideMark/>
          </w:tcPr>
          <w:p w14:paraId="067C71E0" w14:textId="77777777" w:rsidR="00282567" w:rsidRDefault="00282567">
            <w:pPr>
              <w:rPr>
                <w:rFonts w:ascii="Arial" w:hAnsi="Arial"/>
                <w:sz w:val="20"/>
                <w:szCs w:val="28"/>
              </w:rPr>
            </w:pPr>
            <w:r>
              <w:rPr>
                <w:rFonts w:ascii="Arial" w:hAnsi="Arial"/>
                <w:sz w:val="20"/>
                <w:szCs w:val="28"/>
              </w:rPr>
              <w:t>Praha</w:t>
            </w:r>
          </w:p>
        </w:tc>
        <w:tc>
          <w:tcPr>
            <w:tcW w:w="3117" w:type="dxa"/>
            <w:tcBorders>
              <w:top w:val="single" w:sz="4" w:space="0" w:color="95B3D7"/>
              <w:left w:val="single" w:sz="4" w:space="0" w:color="4472C4"/>
              <w:bottom w:val="single" w:sz="4" w:space="0" w:color="95B3D7"/>
              <w:right w:val="single" w:sz="4" w:space="0" w:color="4472C4"/>
            </w:tcBorders>
            <w:shd w:val="clear" w:color="auto" w:fill="DCE6F1"/>
            <w:noWrap/>
            <w:vAlign w:val="bottom"/>
            <w:hideMark/>
          </w:tcPr>
          <w:p w14:paraId="6F294629" w14:textId="77777777" w:rsidR="00282567" w:rsidRDefault="00282567">
            <w:pPr>
              <w:ind w:right="1349"/>
              <w:jc w:val="right"/>
              <w:rPr>
                <w:rFonts w:ascii="Arial" w:hAnsi="Arial"/>
                <w:sz w:val="20"/>
                <w:szCs w:val="28"/>
              </w:rPr>
            </w:pPr>
            <w:r>
              <w:rPr>
                <w:rFonts w:ascii="Arial" w:hAnsi="Arial"/>
                <w:sz w:val="20"/>
                <w:szCs w:val="28"/>
              </w:rPr>
              <w:t>0,79</w:t>
            </w:r>
          </w:p>
        </w:tc>
        <w:tc>
          <w:tcPr>
            <w:tcW w:w="3617" w:type="dxa"/>
            <w:tcBorders>
              <w:top w:val="single" w:sz="4" w:space="0" w:color="95B3D7"/>
              <w:left w:val="single" w:sz="4" w:space="0" w:color="4472C4"/>
              <w:bottom w:val="single" w:sz="4" w:space="0" w:color="95B3D7"/>
              <w:right w:val="single" w:sz="4" w:space="0" w:color="95B3D7"/>
            </w:tcBorders>
            <w:shd w:val="clear" w:color="auto" w:fill="DCE6F1"/>
            <w:noWrap/>
            <w:vAlign w:val="bottom"/>
            <w:hideMark/>
          </w:tcPr>
          <w:p w14:paraId="1D757E0B" w14:textId="77777777" w:rsidR="00282567" w:rsidRDefault="00282567">
            <w:pPr>
              <w:ind w:right="922"/>
              <w:jc w:val="right"/>
              <w:rPr>
                <w:rFonts w:ascii="Arial" w:hAnsi="Arial"/>
                <w:sz w:val="20"/>
                <w:szCs w:val="28"/>
              </w:rPr>
            </w:pPr>
            <w:r>
              <w:rPr>
                <w:rFonts w:ascii="Arial" w:hAnsi="Arial"/>
                <w:sz w:val="20"/>
                <w:szCs w:val="28"/>
              </w:rPr>
              <w:t>11 074 000</w:t>
            </w:r>
          </w:p>
        </w:tc>
      </w:tr>
      <w:tr w:rsidR="00282567" w14:paraId="643E9D1F" w14:textId="77777777" w:rsidTr="007E2A09">
        <w:trPr>
          <w:trHeight w:val="300"/>
        </w:trPr>
        <w:tc>
          <w:tcPr>
            <w:tcW w:w="3117" w:type="dxa"/>
            <w:tcBorders>
              <w:top w:val="single" w:sz="4" w:space="0" w:color="95B3D7"/>
              <w:left w:val="single" w:sz="4" w:space="0" w:color="95B3D7"/>
              <w:bottom w:val="single" w:sz="4" w:space="0" w:color="95B3D7"/>
              <w:right w:val="single" w:sz="4" w:space="0" w:color="4472C4"/>
            </w:tcBorders>
            <w:noWrap/>
            <w:vAlign w:val="bottom"/>
            <w:hideMark/>
          </w:tcPr>
          <w:p w14:paraId="762104F7" w14:textId="77777777" w:rsidR="00282567" w:rsidRDefault="00282567">
            <w:pPr>
              <w:rPr>
                <w:rFonts w:ascii="Arial" w:hAnsi="Arial"/>
                <w:sz w:val="20"/>
                <w:szCs w:val="28"/>
              </w:rPr>
            </w:pPr>
            <w:r>
              <w:rPr>
                <w:rFonts w:ascii="Arial" w:hAnsi="Arial"/>
                <w:sz w:val="20"/>
                <w:szCs w:val="28"/>
              </w:rPr>
              <w:t>Středočeský</w:t>
            </w:r>
          </w:p>
        </w:tc>
        <w:tc>
          <w:tcPr>
            <w:tcW w:w="3117" w:type="dxa"/>
            <w:tcBorders>
              <w:top w:val="single" w:sz="4" w:space="0" w:color="95B3D7"/>
              <w:left w:val="single" w:sz="4" w:space="0" w:color="4472C4"/>
              <w:bottom w:val="single" w:sz="4" w:space="0" w:color="95B3D7"/>
              <w:right w:val="single" w:sz="4" w:space="0" w:color="4472C4"/>
            </w:tcBorders>
            <w:noWrap/>
            <w:vAlign w:val="bottom"/>
            <w:hideMark/>
          </w:tcPr>
          <w:p w14:paraId="6BC86DE4" w14:textId="77777777" w:rsidR="00282567" w:rsidRDefault="00282567">
            <w:pPr>
              <w:ind w:right="1349"/>
              <w:jc w:val="right"/>
              <w:rPr>
                <w:rFonts w:ascii="Arial" w:hAnsi="Arial"/>
                <w:sz w:val="20"/>
                <w:szCs w:val="28"/>
              </w:rPr>
            </w:pPr>
            <w:r>
              <w:rPr>
                <w:rFonts w:ascii="Arial" w:hAnsi="Arial"/>
                <w:sz w:val="20"/>
                <w:szCs w:val="28"/>
              </w:rPr>
              <w:t>17,26</w:t>
            </w:r>
          </w:p>
        </w:tc>
        <w:tc>
          <w:tcPr>
            <w:tcW w:w="3617" w:type="dxa"/>
            <w:tcBorders>
              <w:top w:val="single" w:sz="4" w:space="0" w:color="95B3D7"/>
              <w:left w:val="single" w:sz="4" w:space="0" w:color="4472C4"/>
              <w:bottom w:val="single" w:sz="4" w:space="0" w:color="95B3D7"/>
              <w:right w:val="single" w:sz="4" w:space="0" w:color="95B3D7"/>
            </w:tcBorders>
            <w:noWrap/>
            <w:vAlign w:val="bottom"/>
            <w:hideMark/>
          </w:tcPr>
          <w:p w14:paraId="032CAEE8" w14:textId="77777777" w:rsidR="00282567" w:rsidRDefault="00282567">
            <w:pPr>
              <w:ind w:right="922"/>
              <w:jc w:val="right"/>
              <w:rPr>
                <w:rFonts w:ascii="Arial" w:hAnsi="Arial"/>
                <w:sz w:val="20"/>
                <w:szCs w:val="28"/>
              </w:rPr>
            </w:pPr>
            <w:r>
              <w:rPr>
                <w:rFonts w:ascii="Arial" w:hAnsi="Arial"/>
                <w:sz w:val="20"/>
                <w:szCs w:val="28"/>
              </w:rPr>
              <w:t>241 640 000</w:t>
            </w:r>
          </w:p>
        </w:tc>
      </w:tr>
      <w:tr w:rsidR="00282567" w14:paraId="779F7098" w14:textId="77777777" w:rsidTr="007E2A09">
        <w:trPr>
          <w:trHeight w:val="300"/>
        </w:trPr>
        <w:tc>
          <w:tcPr>
            <w:tcW w:w="3117" w:type="dxa"/>
            <w:tcBorders>
              <w:top w:val="single" w:sz="4" w:space="0" w:color="95B3D7"/>
              <w:left w:val="single" w:sz="4" w:space="0" w:color="95B3D7"/>
              <w:bottom w:val="single" w:sz="4" w:space="0" w:color="95B3D7"/>
              <w:right w:val="single" w:sz="4" w:space="0" w:color="4472C4"/>
            </w:tcBorders>
            <w:shd w:val="clear" w:color="auto" w:fill="DCE6F1"/>
            <w:noWrap/>
            <w:vAlign w:val="bottom"/>
            <w:hideMark/>
          </w:tcPr>
          <w:p w14:paraId="511E99DC" w14:textId="77777777" w:rsidR="00282567" w:rsidRDefault="00282567">
            <w:pPr>
              <w:rPr>
                <w:rFonts w:ascii="Arial" w:hAnsi="Arial"/>
                <w:sz w:val="20"/>
                <w:szCs w:val="28"/>
              </w:rPr>
            </w:pPr>
            <w:r>
              <w:rPr>
                <w:rFonts w:ascii="Arial" w:hAnsi="Arial"/>
                <w:sz w:val="20"/>
                <w:szCs w:val="28"/>
              </w:rPr>
              <w:t>Jihočeský</w:t>
            </w:r>
          </w:p>
        </w:tc>
        <w:tc>
          <w:tcPr>
            <w:tcW w:w="3117" w:type="dxa"/>
            <w:tcBorders>
              <w:top w:val="single" w:sz="4" w:space="0" w:color="95B3D7"/>
              <w:left w:val="single" w:sz="4" w:space="0" w:color="4472C4"/>
              <w:bottom w:val="single" w:sz="4" w:space="0" w:color="95B3D7"/>
              <w:right w:val="single" w:sz="4" w:space="0" w:color="4472C4"/>
            </w:tcBorders>
            <w:shd w:val="clear" w:color="auto" w:fill="DCE6F1"/>
            <w:noWrap/>
            <w:vAlign w:val="bottom"/>
            <w:hideMark/>
          </w:tcPr>
          <w:p w14:paraId="1E017779" w14:textId="77777777" w:rsidR="00282567" w:rsidRDefault="00282567">
            <w:pPr>
              <w:ind w:right="1349"/>
              <w:jc w:val="right"/>
              <w:rPr>
                <w:rFonts w:ascii="Arial" w:hAnsi="Arial"/>
                <w:sz w:val="20"/>
                <w:szCs w:val="28"/>
              </w:rPr>
            </w:pPr>
            <w:r>
              <w:rPr>
                <w:rFonts w:ascii="Arial" w:hAnsi="Arial"/>
                <w:sz w:val="20"/>
                <w:szCs w:val="28"/>
              </w:rPr>
              <w:t>10,10</w:t>
            </w:r>
          </w:p>
        </w:tc>
        <w:tc>
          <w:tcPr>
            <w:tcW w:w="3617" w:type="dxa"/>
            <w:tcBorders>
              <w:top w:val="single" w:sz="4" w:space="0" w:color="95B3D7"/>
              <w:left w:val="single" w:sz="4" w:space="0" w:color="4472C4"/>
              <w:bottom w:val="single" w:sz="4" w:space="0" w:color="95B3D7"/>
              <w:right w:val="single" w:sz="4" w:space="0" w:color="95B3D7"/>
            </w:tcBorders>
            <w:shd w:val="clear" w:color="auto" w:fill="DCE6F1"/>
            <w:noWrap/>
            <w:vAlign w:val="bottom"/>
            <w:hideMark/>
          </w:tcPr>
          <w:p w14:paraId="39511BAC" w14:textId="77777777" w:rsidR="00282567" w:rsidRDefault="00282567">
            <w:pPr>
              <w:ind w:right="922"/>
              <w:jc w:val="right"/>
              <w:rPr>
                <w:rFonts w:ascii="Arial" w:hAnsi="Arial"/>
                <w:sz w:val="20"/>
                <w:szCs w:val="28"/>
              </w:rPr>
            </w:pPr>
            <w:r>
              <w:rPr>
                <w:rFonts w:ascii="Arial" w:hAnsi="Arial"/>
                <w:sz w:val="20"/>
                <w:szCs w:val="28"/>
              </w:rPr>
              <w:t>141 400 000</w:t>
            </w:r>
          </w:p>
        </w:tc>
      </w:tr>
      <w:tr w:rsidR="00282567" w14:paraId="2A1D4DC6" w14:textId="77777777" w:rsidTr="007E2A09">
        <w:trPr>
          <w:trHeight w:val="300"/>
        </w:trPr>
        <w:tc>
          <w:tcPr>
            <w:tcW w:w="3117" w:type="dxa"/>
            <w:tcBorders>
              <w:top w:val="single" w:sz="4" w:space="0" w:color="95B3D7"/>
              <w:left w:val="single" w:sz="4" w:space="0" w:color="95B3D7"/>
              <w:bottom w:val="single" w:sz="4" w:space="0" w:color="95B3D7"/>
              <w:right w:val="single" w:sz="4" w:space="0" w:color="4472C4"/>
            </w:tcBorders>
            <w:noWrap/>
            <w:vAlign w:val="bottom"/>
            <w:hideMark/>
          </w:tcPr>
          <w:p w14:paraId="3AAF72A0" w14:textId="77777777" w:rsidR="00282567" w:rsidRDefault="00282567">
            <w:pPr>
              <w:rPr>
                <w:rFonts w:ascii="Arial" w:hAnsi="Arial"/>
                <w:sz w:val="20"/>
                <w:szCs w:val="28"/>
              </w:rPr>
            </w:pPr>
            <w:r>
              <w:rPr>
                <w:rFonts w:ascii="Arial" w:hAnsi="Arial"/>
                <w:sz w:val="20"/>
                <w:szCs w:val="28"/>
              </w:rPr>
              <w:t>Plzeňský</w:t>
            </w:r>
          </w:p>
        </w:tc>
        <w:tc>
          <w:tcPr>
            <w:tcW w:w="3117" w:type="dxa"/>
            <w:tcBorders>
              <w:top w:val="single" w:sz="4" w:space="0" w:color="95B3D7"/>
              <w:left w:val="single" w:sz="4" w:space="0" w:color="4472C4"/>
              <w:bottom w:val="single" w:sz="4" w:space="0" w:color="95B3D7"/>
              <w:right w:val="single" w:sz="4" w:space="0" w:color="4472C4"/>
            </w:tcBorders>
            <w:noWrap/>
            <w:vAlign w:val="bottom"/>
            <w:hideMark/>
          </w:tcPr>
          <w:p w14:paraId="77CD4441" w14:textId="77777777" w:rsidR="00282567" w:rsidRDefault="00282567">
            <w:pPr>
              <w:ind w:right="1349"/>
              <w:jc w:val="right"/>
              <w:rPr>
                <w:rFonts w:ascii="Arial" w:hAnsi="Arial"/>
                <w:sz w:val="20"/>
                <w:szCs w:val="28"/>
              </w:rPr>
            </w:pPr>
            <w:r>
              <w:rPr>
                <w:rFonts w:ascii="Arial" w:hAnsi="Arial"/>
                <w:sz w:val="20"/>
                <w:szCs w:val="28"/>
              </w:rPr>
              <w:t>7,72</w:t>
            </w:r>
          </w:p>
        </w:tc>
        <w:tc>
          <w:tcPr>
            <w:tcW w:w="3617" w:type="dxa"/>
            <w:tcBorders>
              <w:top w:val="single" w:sz="4" w:space="0" w:color="95B3D7"/>
              <w:left w:val="single" w:sz="4" w:space="0" w:color="4472C4"/>
              <w:bottom w:val="single" w:sz="4" w:space="0" w:color="95B3D7"/>
              <w:right w:val="single" w:sz="4" w:space="0" w:color="95B3D7"/>
            </w:tcBorders>
            <w:noWrap/>
            <w:vAlign w:val="bottom"/>
            <w:hideMark/>
          </w:tcPr>
          <w:p w14:paraId="18C0738B" w14:textId="77777777" w:rsidR="00282567" w:rsidRDefault="00282567">
            <w:pPr>
              <w:ind w:right="922"/>
              <w:jc w:val="right"/>
              <w:rPr>
                <w:rFonts w:ascii="Arial" w:hAnsi="Arial"/>
                <w:sz w:val="20"/>
                <w:szCs w:val="28"/>
              </w:rPr>
            </w:pPr>
            <w:r>
              <w:rPr>
                <w:rFonts w:ascii="Arial" w:hAnsi="Arial"/>
                <w:sz w:val="20"/>
                <w:szCs w:val="28"/>
              </w:rPr>
              <w:t>108 094 000</w:t>
            </w:r>
          </w:p>
        </w:tc>
      </w:tr>
      <w:tr w:rsidR="00282567" w14:paraId="169A8115" w14:textId="77777777" w:rsidTr="007E2A09">
        <w:trPr>
          <w:trHeight w:val="300"/>
        </w:trPr>
        <w:tc>
          <w:tcPr>
            <w:tcW w:w="3117" w:type="dxa"/>
            <w:tcBorders>
              <w:top w:val="single" w:sz="4" w:space="0" w:color="95B3D7"/>
              <w:left w:val="single" w:sz="4" w:space="0" w:color="95B3D7"/>
              <w:bottom w:val="single" w:sz="4" w:space="0" w:color="95B3D7"/>
              <w:right w:val="single" w:sz="4" w:space="0" w:color="4472C4"/>
            </w:tcBorders>
            <w:shd w:val="clear" w:color="auto" w:fill="DCE6F1"/>
            <w:noWrap/>
            <w:vAlign w:val="bottom"/>
            <w:hideMark/>
          </w:tcPr>
          <w:p w14:paraId="413D7A33" w14:textId="77777777" w:rsidR="00282567" w:rsidRDefault="00282567">
            <w:pPr>
              <w:rPr>
                <w:rFonts w:ascii="Arial" w:hAnsi="Arial"/>
                <w:sz w:val="20"/>
                <w:szCs w:val="28"/>
              </w:rPr>
            </w:pPr>
            <w:r>
              <w:rPr>
                <w:rFonts w:ascii="Arial" w:hAnsi="Arial"/>
                <w:sz w:val="20"/>
                <w:szCs w:val="28"/>
              </w:rPr>
              <w:t>Karlovarský</w:t>
            </w:r>
          </w:p>
        </w:tc>
        <w:tc>
          <w:tcPr>
            <w:tcW w:w="3117" w:type="dxa"/>
            <w:tcBorders>
              <w:top w:val="single" w:sz="4" w:space="0" w:color="95B3D7"/>
              <w:left w:val="single" w:sz="4" w:space="0" w:color="4472C4"/>
              <w:bottom w:val="single" w:sz="4" w:space="0" w:color="95B3D7"/>
              <w:right w:val="single" w:sz="4" w:space="0" w:color="4472C4"/>
            </w:tcBorders>
            <w:shd w:val="clear" w:color="auto" w:fill="DCE6F1"/>
            <w:noWrap/>
            <w:vAlign w:val="bottom"/>
            <w:hideMark/>
          </w:tcPr>
          <w:p w14:paraId="6E85C520" w14:textId="77777777" w:rsidR="00282567" w:rsidRDefault="00282567">
            <w:pPr>
              <w:ind w:right="1349"/>
              <w:jc w:val="right"/>
              <w:rPr>
                <w:rFonts w:ascii="Arial" w:hAnsi="Arial"/>
                <w:sz w:val="20"/>
                <w:szCs w:val="28"/>
              </w:rPr>
            </w:pPr>
            <w:r>
              <w:rPr>
                <w:rFonts w:ascii="Arial" w:hAnsi="Arial"/>
                <w:sz w:val="20"/>
                <w:szCs w:val="28"/>
              </w:rPr>
              <w:t>2,24</w:t>
            </w:r>
          </w:p>
        </w:tc>
        <w:tc>
          <w:tcPr>
            <w:tcW w:w="3617" w:type="dxa"/>
            <w:tcBorders>
              <w:top w:val="single" w:sz="4" w:space="0" w:color="95B3D7"/>
              <w:left w:val="single" w:sz="4" w:space="0" w:color="4472C4"/>
              <w:bottom w:val="single" w:sz="4" w:space="0" w:color="95B3D7"/>
              <w:right w:val="single" w:sz="4" w:space="0" w:color="95B3D7"/>
            </w:tcBorders>
            <w:shd w:val="clear" w:color="auto" w:fill="DCE6F1"/>
            <w:noWrap/>
            <w:vAlign w:val="bottom"/>
            <w:hideMark/>
          </w:tcPr>
          <w:p w14:paraId="1CE84B39" w14:textId="77777777" w:rsidR="00282567" w:rsidRDefault="00282567">
            <w:pPr>
              <w:ind w:right="922"/>
              <w:jc w:val="right"/>
              <w:rPr>
                <w:rFonts w:ascii="Arial" w:hAnsi="Arial"/>
                <w:sz w:val="20"/>
                <w:szCs w:val="28"/>
              </w:rPr>
            </w:pPr>
            <w:r>
              <w:rPr>
                <w:rFonts w:ascii="Arial" w:hAnsi="Arial"/>
                <w:sz w:val="20"/>
                <w:szCs w:val="28"/>
              </w:rPr>
              <w:t>31 374 000</w:t>
            </w:r>
          </w:p>
        </w:tc>
      </w:tr>
      <w:tr w:rsidR="00282567" w14:paraId="3ADE2A42" w14:textId="77777777" w:rsidTr="007E2A09">
        <w:trPr>
          <w:trHeight w:val="300"/>
        </w:trPr>
        <w:tc>
          <w:tcPr>
            <w:tcW w:w="3117" w:type="dxa"/>
            <w:tcBorders>
              <w:top w:val="single" w:sz="4" w:space="0" w:color="95B3D7"/>
              <w:left w:val="single" w:sz="4" w:space="0" w:color="95B3D7"/>
              <w:bottom w:val="single" w:sz="4" w:space="0" w:color="95B3D7"/>
              <w:right w:val="single" w:sz="4" w:space="0" w:color="4472C4"/>
            </w:tcBorders>
            <w:noWrap/>
            <w:vAlign w:val="bottom"/>
            <w:hideMark/>
          </w:tcPr>
          <w:p w14:paraId="4056BF05" w14:textId="77777777" w:rsidR="00282567" w:rsidRDefault="00282567">
            <w:pPr>
              <w:rPr>
                <w:rFonts w:ascii="Arial" w:hAnsi="Arial"/>
                <w:sz w:val="20"/>
                <w:szCs w:val="28"/>
              </w:rPr>
            </w:pPr>
            <w:r>
              <w:rPr>
                <w:rFonts w:ascii="Arial" w:hAnsi="Arial"/>
                <w:sz w:val="20"/>
                <w:szCs w:val="28"/>
              </w:rPr>
              <w:t>Ústecký</w:t>
            </w:r>
          </w:p>
        </w:tc>
        <w:tc>
          <w:tcPr>
            <w:tcW w:w="3117" w:type="dxa"/>
            <w:tcBorders>
              <w:top w:val="single" w:sz="4" w:space="0" w:color="95B3D7"/>
              <w:left w:val="single" w:sz="4" w:space="0" w:color="4472C4"/>
              <w:bottom w:val="single" w:sz="4" w:space="0" w:color="95B3D7"/>
              <w:right w:val="single" w:sz="4" w:space="0" w:color="4472C4"/>
            </w:tcBorders>
            <w:noWrap/>
            <w:vAlign w:val="bottom"/>
            <w:hideMark/>
          </w:tcPr>
          <w:p w14:paraId="5AEB0C17" w14:textId="77777777" w:rsidR="00282567" w:rsidRDefault="00282567">
            <w:pPr>
              <w:ind w:right="1349"/>
              <w:jc w:val="right"/>
              <w:rPr>
                <w:rFonts w:ascii="Arial" w:hAnsi="Arial"/>
                <w:sz w:val="20"/>
                <w:szCs w:val="28"/>
              </w:rPr>
            </w:pPr>
            <w:r>
              <w:rPr>
                <w:rFonts w:ascii="Arial" w:hAnsi="Arial"/>
                <w:sz w:val="20"/>
                <w:szCs w:val="28"/>
              </w:rPr>
              <w:t>5,39</w:t>
            </w:r>
          </w:p>
        </w:tc>
        <w:tc>
          <w:tcPr>
            <w:tcW w:w="3617" w:type="dxa"/>
            <w:tcBorders>
              <w:top w:val="single" w:sz="4" w:space="0" w:color="95B3D7"/>
              <w:left w:val="single" w:sz="4" w:space="0" w:color="4472C4"/>
              <w:bottom w:val="single" w:sz="4" w:space="0" w:color="95B3D7"/>
              <w:right w:val="single" w:sz="4" w:space="0" w:color="95B3D7"/>
            </w:tcBorders>
            <w:noWrap/>
            <w:vAlign w:val="bottom"/>
            <w:hideMark/>
          </w:tcPr>
          <w:p w14:paraId="063BB011" w14:textId="77777777" w:rsidR="00282567" w:rsidRDefault="00282567">
            <w:pPr>
              <w:ind w:right="922"/>
              <w:jc w:val="right"/>
              <w:rPr>
                <w:rFonts w:ascii="Arial" w:hAnsi="Arial"/>
                <w:sz w:val="20"/>
                <w:szCs w:val="28"/>
              </w:rPr>
            </w:pPr>
            <w:r>
              <w:rPr>
                <w:rFonts w:ascii="Arial" w:hAnsi="Arial"/>
                <w:sz w:val="20"/>
                <w:szCs w:val="28"/>
              </w:rPr>
              <w:t>75 474 000</w:t>
            </w:r>
          </w:p>
        </w:tc>
      </w:tr>
      <w:tr w:rsidR="00282567" w14:paraId="280BB458" w14:textId="77777777" w:rsidTr="007E2A09">
        <w:trPr>
          <w:trHeight w:val="300"/>
        </w:trPr>
        <w:tc>
          <w:tcPr>
            <w:tcW w:w="3117" w:type="dxa"/>
            <w:tcBorders>
              <w:top w:val="single" w:sz="4" w:space="0" w:color="95B3D7"/>
              <w:left w:val="single" w:sz="4" w:space="0" w:color="95B3D7"/>
              <w:bottom w:val="single" w:sz="4" w:space="0" w:color="95B3D7"/>
              <w:right w:val="single" w:sz="4" w:space="0" w:color="4472C4"/>
            </w:tcBorders>
            <w:shd w:val="clear" w:color="auto" w:fill="DCE6F1"/>
            <w:noWrap/>
            <w:vAlign w:val="bottom"/>
            <w:hideMark/>
          </w:tcPr>
          <w:p w14:paraId="7807F4A6" w14:textId="77777777" w:rsidR="00282567" w:rsidRDefault="00282567">
            <w:pPr>
              <w:rPr>
                <w:rFonts w:ascii="Arial" w:hAnsi="Arial"/>
                <w:sz w:val="20"/>
                <w:szCs w:val="28"/>
              </w:rPr>
            </w:pPr>
            <w:r>
              <w:rPr>
                <w:rFonts w:ascii="Arial" w:hAnsi="Arial"/>
                <w:sz w:val="20"/>
                <w:szCs w:val="28"/>
              </w:rPr>
              <w:t>Liberecký</w:t>
            </w:r>
          </w:p>
        </w:tc>
        <w:tc>
          <w:tcPr>
            <w:tcW w:w="3117" w:type="dxa"/>
            <w:tcBorders>
              <w:top w:val="single" w:sz="4" w:space="0" w:color="95B3D7"/>
              <w:left w:val="single" w:sz="4" w:space="0" w:color="4472C4"/>
              <w:bottom w:val="single" w:sz="4" w:space="0" w:color="95B3D7"/>
              <w:right w:val="single" w:sz="4" w:space="0" w:color="4472C4"/>
            </w:tcBorders>
            <w:shd w:val="clear" w:color="auto" w:fill="DCE6F1"/>
            <w:noWrap/>
            <w:vAlign w:val="bottom"/>
            <w:hideMark/>
          </w:tcPr>
          <w:p w14:paraId="644179DE" w14:textId="77777777" w:rsidR="00282567" w:rsidRDefault="00282567">
            <w:pPr>
              <w:ind w:right="1349"/>
              <w:jc w:val="right"/>
              <w:rPr>
                <w:rFonts w:ascii="Arial" w:hAnsi="Arial"/>
                <w:sz w:val="20"/>
                <w:szCs w:val="28"/>
              </w:rPr>
            </w:pPr>
            <w:r>
              <w:rPr>
                <w:rFonts w:ascii="Arial" w:hAnsi="Arial"/>
                <w:sz w:val="20"/>
                <w:szCs w:val="28"/>
              </w:rPr>
              <w:t>4,68</w:t>
            </w:r>
          </w:p>
        </w:tc>
        <w:tc>
          <w:tcPr>
            <w:tcW w:w="3617" w:type="dxa"/>
            <w:tcBorders>
              <w:top w:val="single" w:sz="4" w:space="0" w:color="95B3D7"/>
              <w:left w:val="single" w:sz="4" w:space="0" w:color="4472C4"/>
              <w:bottom w:val="single" w:sz="4" w:space="0" w:color="95B3D7"/>
              <w:right w:val="single" w:sz="4" w:space="0" w:color="95B3D7"/>
            </w:tcBorders>
            <w:shd w:val="clear" w:color="auto" w:fill="DCE6F1"/>
            <w:noWrap/>
            <w:vAlign w:val="bottom"/>
            <w:hideMark/>
          </w:tcPr>
          <w:p w14:paraId="3EED1357" w14:textId="77777777" w:rsidR="00282567" w:rsidRDefault="00282567">
            <w:pPr>
              <w:ind w:right="922"/>
              <w:jc w:val="right"/>
              <w:rPr>
                <w:rFonts w:ascii="Arial" w:hAnsi="Arial"/>
                <w:sz w:val="20"/>
                <w:szCs w:val="28"/>
              </w:rPr>
            </w:pPr>
            <w:r>
              <w:rPr>
                <w:rFonts w:ascii="Arial" w:hAnsi="Arial"/>
                <w:sz w:val="20"/>
                <w:szCs w:val="28"/>
              </w:rPr>
              <w:t>65 534 000</w:t>
            </w:r>
          </w:p>
        </w:tc>
      </w:tr>
      <w:tr w:rsidR="00282567" w14:paraId="245045EB" w14:textId="77777777" w:rsidTr="007E2A09">
        <w:trPr>
          <w:trHeight w:val="300"/>
        </w:trPr>
        <w:tc>
          <w:tcPr>
            <w:tcW w:w="3117" w:type="dxa"/>
            <w:tcBorders>
              <w:top w:val="single" w:sz="4" w:space="0" w:color="95B3D7"/>
              <w:left w:val="single" w:sz="4" w:space="0" w:color="95B3D7"/>
              <w:bottom w:val="single" w:sz="4" w:space="0" w:color="95B3D7"/>
              <w:right w:val="single" w:sz="4" w:space="0" w:color="4472C4"/>
            </w:tcBorders>
            <w:noWrap/>
            <w:vAlign w:val="bottom"/>
            <w:hideMark/>
          </w:tcPr>
          <w:p w14:paraId="64124F3C" w14:textId="77777777" w:rsidR="00282567" w:rsidRDefault="00282567">
            <w:pPr>
              <w:rPr>
                <w:rFonts w:ascii="Arial" w:hAnsi="Arial"/>
                <w:sz w:val="20"/>
                <w:szCs w:val="28"/>
              </w:rPr>
            </w:pPr>
            <w:r>
              <w:rPr>
                <w:rFonts w:ascii="Arial" w:hAnsi="Arial"/>
                <w:sz w:val="20"/>
                <w:szCs w:val="28"/>
              </w:rPr>
              <w:t>Královéhradecký</w:t>
            </w:r>
          </w:p>
        </w:tc>
        <w:tc>
          <w:tcPr>
            <w:tcW w:w="3117" w:type="dxa"/>
            <w:tcBorders>
              <w:top w:val="single" w:sz="4" w:space="0" w:color="95B3D7"/>
              <w:left w:val="single" w:sz="4" w:space="0" w:color="4472C4"/>
              <w:bottom w:val="single" w:sz="4" w:space="0" w:color="95B3D7"/>
              <w:right w:val="single" w:sz="4" w:space="0" w:color="4472C4"/>
            </w:tcBorders>
            <w:noWrap/>
            <w:vAlign w:val="bottom"/>
            <w:hideMark/>
          </w:tcPr>
          <w:p w14:paraId="2D76A4A3" w14:textId="77777777" w:rsidR="00282567" w:rsidRDefault="00282567">
            <w:pPr>
              <w:ind w:right="1349"/>
              <w:jc w:val="right"/>
              <w:rPr>
                <w:rFonts w:ascii="Arial" w:hAnsi="Arial"/>
                <w:sz w:val="20"/>
                <w:szCs w:val="28"/>
              </w:rPr>
            </w:pPr>
            <w:r>
              <w:rPr>
                <w:rFonts w:ascii="Arial" w:hAnsi="Arial"/>
                <w:sz w:val="20"/>
                <w:szCs w:val="28"/>
              </w:rPr>
              <w:t>6,67</w:t>
            </w:r>
          </w:p>
        </w:tc>
        <w:tc>
          <w:tcPr>
            <w:tcW w:w="3617" w:type="dxa"/>
            <w:tcBorders>
              <w:top w:val="single" w:sz="4" w:space="0" w:color="95B3D7"/>
              <w:left w:val="single" w:sz="4" w:space="0" w:color="4472C4"/>
              <w:bottom w:val="single" w:sz="4" w:space="0" w:color="95B3D7"/>
              <w:right w:val="single" w:sz="4" w:space="0" w:color="95B3D7"/>
            </w:tcBorders>
            <w:noWrap/>
            <w:vAlign w:val="bottom"/>
            <w:hideMark/>
          </w:tcPr>
          <w:p w14:paraId="3B96D403" w14:textId="77777777" w:rsidR="00282567" w:rsidRDefault="00282567">
            <w:pPr>
              <w:ind w:right="922"/>
              <w:jc w:val="right"/>
              <w:rPr>
                <w:rFonts w:ascii="Arial" w:hAnsi="Arial"/>
                <w:sz w:val="20"/>
                <w:szCs w:val="28"/>
              </w:rPr>
            </w:pPr>
            <w:r>
              <w:rPr>
                <w:rFonts w:ascii="Arial" w:hAnsi="Arial"/>
                <w:sz w:val="20"/>
                <w:szCs w:val="28"/>
              </w:rPr>
              <w:t>93 394 000</w:t>
            </w:r>
          </w:p>
        </w:tc>
      </w:tr>
      <w:tr w:rsidR="00282567" w14:paraId="2CDA77C3" w14:textId="77777777" w:rsidTr="007E2A09">
        <w:trPr>
          <w:trHeight w:val="300"/>
        </w:trPr>
        <w:tc>
          <w:tcPr>
            <w:tcW w:w="3117" w:type="dxa"/>
            <w:tcBorders>
              <w:top w:val="single" w:sz="4" w:space="0" w:color="95B3D7"/>
              <w:left w:val="single" w:sz="4" w:space="0" w:color="95B3D7"/>
              <w:bottom w:val="single" w:sz="4" w:space="0" w:color="95B3D7"/>
              <w:right w:val="single" w:sz="4" w:space="0" w:color="4472C4"/>
            </w:tcBorders>
            <w:shd w:val="clear" w:color="auto" w:fill="DCE6F1"/>
            <w:noWrap/>
            <w:vAlign w:val="bottom"/>
            <w:hideMark/>
          </w:tcPr>
          <w:p w14:paraId="3696FF25" w14:textId="77777777" w:rsidR="00282567" w:rsidRDefault="00282567">
            <w:pPr>
              <w:rPr>
                <w:rFonts w:ascii="Arial" w:hAnsi="Arial"/>
                <w:sz w:val="20"/>
                <w:szCs w:val="28"/>
              </w:rPr>
            </w:pPr>
            <w:r>
              <w:rPr>
                <w:rFonts w:ascii="Arial" w:hAnsi="Arial"/>
                <w:sz w:val="20"/>
                <w:szCs w:val="28"/>
              </w:rPr>
              <w:t>Pardubický</w:t>
            </w:r>
          </w:p>
        </w:tc>
        <w:tc>
          <w:tcPr>
            <w:tcW w:w="3117" w:type="dxa"/>
            <w:tcBorders>
              <w:top w:val="single" w:sz="4" w:space="0" w:color="95B3D7"/>
              <w:left w:val="single" w:sz="4" w:space="0" w:color="4472C4"/>
              <w:bottom w:val="single" w:sz="4" w:space="0" w:color="95B3D7"/>
              <w:right w:val="single" w:sz="4" w:space="0" w:color="4472C4"/>
            </w:tcBorders>
            <w:shd w:val="clear" w:color="auto" w:fill="DCE6F1"/>
            <w:noWrap/>
            <w:vAlign w:val="bottom"/>
            <w:hideMark/>
          </w:tcPr>
          <w:p w14:paraId="59C6FFD0" w14:textId="77777777" w:rsidR="00282567" w:rsidRDefault="00282567">
            <w:pPr>
              <w:ind w:right="1349"/>
              <w:jc w:val="right"/>
              <w:rPr>
                <w:rFonts w:ascii="Arial" w:hAnsi="Arial"/>
                <w:sz w:val="20"/>
                <w:szCs w:val="28"/>
              </w:rPr>
            </w:pPr>
            <w:r>
              <w:rPr>
                <w:rFonts w:ascii="Arial" w:hAnsi="Arial"/>
                <w:sz w:val="20"/>
                <w:szCs w:val="28"/>
              </w:rPr>
              <w:t>5,93</w:t>
            </w:r>
          </w:p>
        </w:tc>
        <w:tc>
          <w:tcPr>
            <w:tcW w:w="3617" w:type="dxa"/>
            <w:tcBorders>
              <w:top w:val="single" w:sz="4" w:space="0" w:color="95B3D7"/>
              <w:left w:val="single" w:sz="4" w:space="0" w:color="4472C4"/>
              <w:bottom w:val="single" w:sz="4" w:space="0" w:color="95B3D7"/>
              <w:right w:val="single" w:sz="4" w:space="0" w:color="95B3D7"/>
            </w:tcBorders>
            <w:shd w:val="clear" w:color="auto" w:fill="DCE6F1"/>
            <w:noWrap/>
            <w:vAlign w:val="bottom"/>
            <w:hideMark/>
          </w:tcPr>
          <w:p w14:paraId="4250B271" w14:textId="77777777" w:rsidR="00282567" w:rsidRDefault="00282567">
            <w:pPr>
              <w:ind w:right="922"/>
              <w:jc w:val="right"/>
              <w:rPr>
                <w:rFonts w:ascii="Arial" w:hAnsi="Arial"/>
                <w:sz w:val="20"/>
                <w:szCs w:val="28"/>
              </w:rPr>
            </w:pPr>
            <w:r>
              <w:rPr>
                <w:rFonts w:ascii="Arial" w:hAnsi="Arial"/>
                <w:sz w:val="20"/>
                <w:szCs w:val="28"/>
              </w:rPr>
              <w:t>83 020 000</w:t>
            </w:r>
          </w:p>
        </w:tc>
      </w:tr>
      <w:tr w:rsidR="00282567" w14:paraId="003C85D4" w14:textId="77777777" w:rsidTr="007E2A09">
        <w:trPr>
          <w:trHeight w:val="300"/>
        </w:trPr>
        <w:tc>
          <w:tcPr>
            <w:tcW w:w="3117" w:type="dxa"/>
            <w:tcBorders>
              <w:top w:val="single" w:sz="4" w:space="0" w:color="95B3D7"/>
              <w:left w:val="single" w:sz="4" w:space="0" w:color="95B3D7"/>
              <w:bottom w:val="single" w:sz="4" w:space="0" w:color="95B3D7"/>
              <w:right w:val="single" w:sz="4" w:space="0" w:color="4472C4"/>
            </w:tcBorders>
            <w:noWrap/>
            <w:vAlign w:val="bottom"/>
            <w:hideMark/>
          </w:tcPr>
          <w:p w14:paraId="54313E18" w14:textId="77777777" w:rsidR="00282567" w:rsidRDefault="00282567">
            <w:pPr>
              <w:rPr>
                <w:rFonts w:ascii="Arial" w:hAnsi="Arial"/>
                <w:sz w:val="20"/>
                <w:szCs w:val="28"/>
              </w:rPr>
            </w:pPr>
            <w:r>
              <w:rPr>
                <w:rFonts w:ascii="Arial" w:hAnsi="Arial"/>
                <w:sz w:val="20"/>
                <w:szCs w:val="28"/>
              </w:rPr>
              <w:t>Vysočina</w:t>
            </w:r>
          </w:p>
        </w:tc>
        <w:tc>
          <w:tcPr>
            <w:tcW w:w="3117" w:type="dxa"/>
            <w:tcBorders>
              <w:top w:val="single" w:sz="4" w:space="0" w:color="95B3D7"/>
              <w:left w:val="single" w:sz="4" w:space="0" w:color="4472C4"/>
              <w:bottom w:val="single" w:sz="4" w:space="0" w:color="95B3D7"/>
              <w:right w:val="single" w:sz="4" w:space="0" w:color="4472C4"/>
            </w:tcBorders>
            <w:noWrap/>
            <w:vAlign w:val="bottom"/>
            <w:hideMark/>
          </w:tcPr>
          <w:p w14:paraId="0027F8C9" w14:textId="77777777" w:rsidR="00282567" w:rsidRDefault="00282567">
            <w:pPr>
              <w:ind w:right="1349"/>
              <w:jc w:val="right"/>
              <w:rPr>
                <w:rFonts w:ascii="Arial" w:hAnsi="Arial"/>
                <w:sz w:val="20"/>
                <w:szCs w:val="28"/>
              </w:rPr>
            </w:pPr>
            <w:r>
              <w:rPr>
                <w:rFonts w:ascii="Arial" w:hAnsi="Arial"/>
                <w:sz w:val="20"/>
                <w:szCs w:val="28"/>
              </w:rPr>
              <w:t>7,96</w:t>
            </w:r>
          </w:p>
        </w:tc>
        <w:tc>
          <w:tcPr>
            <w:tcW w:w="3617" w:type="dxa"/>
            <w:tcBorders>
              <w:top w:val="single" w:sz="4" w:space="0" w:color="95B3D7"/>
              <w:left w:val="single" w:sz="4" w:space="0" w:color="4472C4"/>
              <w:bottom w:val="single" w:sz="4" w:space="0" w:color="95B3D7"/>
              <w:right w:val="single" w:sz="4" w:space="0" w:color="95B3D7"/>
            </w:tcBorders>
            <w:noWrap/>
            <w:vAlign w:val="bottom"/>
            <w:hideMark/>
          </w:tcPr>
          <w:p w14:paraId="187FF73C" w14:textId="77777777" w:rsidR="00282567" w:rsidRDefault="00282567">
            <w:pPr>
              <w:ind w:right="922"/>
              <w:jc w:val="right"/>
              <w:rPr>
                <w:rFonts w:ascii="Arial" w:hAnsi="Arial"/>
                <w:sz w:val="20"/>
                <w:szCs w:val="28"/>
              </w:rPr>
            </w:pPr>
            <w:r>
              <w:rPr>
                <w:rFonts w:ascii="Arial" w:hAnsi="Arial"/>
                <w:sz w:val="20"/>
                <w:szCs w:val="28"/>
              </w:rPr>
              <w:t>111 454 000</w:t>
            </w:r>
          </w:p>
        </w:tc>
      </w:tr>
      <w:tr w:rsidR="00282567" w14:paraId="0BC800C2" w14:textId="77777777" w:rsidTr="007E2A09">
        <w:trPr>
          <w:trHeight w:val="300"/>
        </w:trPr>
        <w:tc>
          <w:tcPr>
            <w:tcW w:w="3117" w:type="dxa"/>
            <w:tcBorders>
              <w:top w:val="single" w:sz="4" w:space="0" w:color="95B3D7"/>
              <w:left w:val="single" w:sz="4" w:space="0" w:color="95B3D7"/>
              <w:bottom w:val="single" w:sz="4" w:space="0" w:color="95B3D7"/>
              <w:right w:val="single" w:sz="4" w:space="0" w:color="4472C4"/>
            </w:tcBorders>
            <w:shd w:val="clear" w:color="auto" w:fill="DCE6F1"/>
            <w:noWrap/>
            <w:vAlign w:val="bottom"/>
            <w:hideMark/>
          </w:tcPr>
          <w:p w14:paraId="2CE6CD5F" w14:textId="77777777" w:rsidR="00282567" w:rsidRDefault="00282567">
            <w:pPr>
              <w:rPr>
                <w:rFonts w:ascii="Arial" w:hAnsi="Arial"/>
                <w:sz w:val="20"/>
                <w:szCs w:val="28"/>
              </w:rPr>
            </w:pPr>
            <w:r>
              <w:rPr>
                <w:rFonts w:ascii="Arial" w:hAnsi="Arial"/>
                <w:sz w:val="20"/>
                <w:szCs w:val="28"/>
              </w:rPr>
              <w:t>Jihomoravský</w:t>
            </w:r>
          </w:p>
        </w:tc>
        <w:tc>
          <w:tcPr>
            <w:tcW w:w="3117" w:type="dxa"/>
            <w:tcBorders>
              <w:top w:val="single" w:sz="4" w:space="0" w:color="95B3D7"/>
              <w:left w:val="single" w:sz="4" w:space="0" w:color="4472C4"/>
              <w:bottom w:val="single" w:sz="4" w:space="0" w:color="95B3D7"/>
              <w:right w:val="single" w:sz="4" w:space="0" w:color="4472C4"/>
            </w:tcBorders>
            <w:shd w:val="clear" w:color="auto" w:fill="DCE6F1"/>
            <w:noWrap/>
            <w:vAlign w:val="bottom"/>
            <w:hideMark/>
          </w:tcPr>
          <w:p w14:paraId="2D6179C1" w14:textId="77777777" w:rsidR="00282567" w:rsidRDefault="00282567">
            <w:pPr>
              <w:ind w:right="1349"/>
              <w:jc w:val="right"/>
              <w:rPr>
                <w:rFonts w:ascii="Arial" w:hAnsi="Arial"/>
                <w:sz w:val="20"/>
                <w:szCs w:val="28"/>
              </w:rPr>
            </w:pPr>
            <w:r>
              <w:rPr>
                <w:rFonts w:ascii="Arial" w:hAnsi="Arial"/>
                <w:sz w:val="20"/>
                <w:szCs w:val="28"/>
              </w:rPr>
              <w:t>4,52</w:t>
            </w:r>
          </w:p>
        </w:tc>
        <w:tc>
          <w:tcPr>
            <w:tcW w:w="3617" w:type="dxa"/>
            <w:tcBorders>
              <w:top w:val="single" w:sz="4" w:space="0" w:color="95B3D7"/>
              <w:left w:val="single" w:sz="4" w:space="0" w:color="4472C4"/>
              <w:bottom w:val="single" w:sz="4" w:space="0" w:color="95B3D7"/>
              <w:right w:val="single" w:sz="4" w:space="0" w:color="95B3D7"/>
            </w:tcBorders>
            <w:shd w:val="clear" w:color="auto" w:fill="DCE6F1"/>
            <w:noWrap/>
            <w:vAlign w:val="bottom"/>
            <w:hideMark/>
          </w:tcPr>
          <w:p w14:paraId="0F88BD04" w14:textId="77777777" w:rsidR="00282567" w:rsidRDefault="00282567">
            <w:pPr>
              <w:ind w:right="922"/>
              <w:jc w:val="right"/>
              <w:rPr>
                <w:rFonts w:ascii="Arial" w:hAnsi="Arial"/>
                <w:sz w:val="20"/>
                <w:szCs w:val="28"/>
              </w:rPr>
            </w:pPr>
            <w:r>
              <w:rPr>
                <w:rFonts w:ascii="Arial" w:hAnsi="Arial"/>
                <w:sz w:val="20"/>
                <w:szCs w:val="28"/>
              </w:rPr>
              <w:t>63 294 000</w:t>
            </w:r>
          </w:p>
        </w:tc>
      </w:tr>
      <w:tr w:rsidR="00282567" w14:paraId="751068D2" w14:textId="77777777" w:rsidTr="007E2A09">
        <w:trPr>
          <w:trHeight w:val="300"/>
        </w:trPr>
        <w:tc>
          <w:tcPr>
            <w:tcW w:w="3117" w:type="dxa"/>
            <w:tcBorders>
              <w:top w:val="single" w:sz="4" w:space="0" w:color="95B3D7"/>
              <w:left w:val="single" w:sz="4" w:space="0" w:color="95B3D7"/>
              <w:bottom w:val="single" w:sz="4" w:space="0" w:color="95B3D7"/>
              <w:right w:val="single" w:sz="4" w:space="0" w:color="4472C4"/>
            </w:tcBorders>
            <w:noWrap/>
            <w:vAlign w:val="bottom"/>
            <w:hideMark/>
          </w:tcPr>
          <w:p w14:paraId="12D1DA73" w14:textId="77777777" w:rsidR="00282567" w:rsidRDefault="00282567">
            <w:pPr>
              <w:rPr>
                <w:rFonts w:ascii="Arial" w:hAnsi="Arial"/>
                <w:sz w:val="20"/>
                <w:szCs w:val="28"/>
              </w:rPr>
            </w:pPr>
            <w:r>
              <w:rPr>
                <w:rFonts w:ascii="Arial" w:hAnsi="Arial"/>
                <w:sz w:val="20"/>
                <w:szCs w:val="28"/>
              </w:rPr>
              <w:t>Olomoucký</w:t>
            </w:r>
          </w:p>
        </w:tc>
        <w:tc>
          <w:tcPr>
            <w:tcW w:w="3117" w:type="dxa"/>
            <w:tcBorders>
              <w:top w:val="single" w:sz="4" w:space="0" w:color="95B3D7"/>
              <w:left w:val="single" w:sz="4" w:space="0" w:color="4472C4"/>
              <w:bottom w:val="single" w:sz="4" w:space="0" w:color="95B3D7"/>
              <w:right w:val="single" w:sz="4" w:space="0" w:color="4472C4"/>
            </w:tcBorders>
            <w:noWrap/>
            <w:vAlign w:val="bottom"/>
            <w:hideMark/>
          </w:tcPr>
          <w:p w14:paraId="17B61FF2" w14:textId="77777777" w:rsidR="00282567" w:rsidRDefault="00282567">
            <w:pPr>
              <w:ind w:right="1349"/>
              <w:jc w:val="right"/>
              <w:rPr>
                <w:rFonts w:ascii="Arial" w:hAnsi="Arial"/>
                <w:sz w:val="20"/>
                <w:szCs w:val="28"/>
              </w:rPr>
            </w:pPr>
            <w:r>
              <w:rPr>
                <w:rFonts w:ascii="Arial" w:hAnsi="Arial"/>
                <w:sz w:val="20"/>
                <w:szCs w:val="28"/>
              </w:rPr>
              <w:t>5,74</w:t>
            </w:r>
          </w:p>
        </w:tc>
        <w:tc>
          <w:tcPr>
            <w:tcW w:w="3617" w:type="dxa"/>
            <w:tcBorders>
              <w:top w:val="single" w:sz="4" w:space="0" w:color="95B3D7"/>
              <w:left w:val="single" w:sz="4" w:space="0" w:color="4472C4"/>
              <w:bottom w:val="single" w:sz="4" w:space="0" w:color="95B3D7"/>
              <w:right w:val="single" w:sz="4" w:space="0" w:color="95B3D7"/>
            </w:tcBorders>
            <w:noWrap/>
            <w:vAlign w:val="bottom"/>
            <w:hideMark/>
          </w:tcPr>
          <w:p w14:paraId="40F43E8C" w14:textId="77777777" w:rsidR="00282567" w:rsidRDefault="00282567">
            <w:pPr>
              <w:ind w:right="922"/>
              <w:jc w:val="right"/>
              <w:rPr>
                <w:rFonts w:ascii="Arial" w:hAnsi="Arial"/>
                <w:sz w:val="20"/>
                <w:szCs w:val="28"/>
              </w:rPr>
            </w:pPr>
            <w:r>
              <w:rPr>
                <w:rFonts w:ascii="Arial" w:hAnsi="Arial"/>
                <w:sz w:val="20"/>
                <w:szCs w:val="28"/>
              </w:rPr>
              <w:t>80 374 000</w:t>
            </w:r>
          </w:p>
        </w:tc>
      </w:tr>
      <w:tr w:rsidR="00282567" w14:paraId="5ED4CCCA" w14:textId="77777777" w:rsidTr="007E2A09">
        <w:trPr>
          <w:trHeight w:val="300"/>
        </w:trPr>
        <w:tc>
          <w:tcPr>
            <w:tcW w:w="3117" w:type="dxa"/>
            <w:tcBorders>
              <w:top w:val="single" w:sz="4" w:space="0" w:color="95B3D7"/>
              <w:left w:val="single" w:sz="4" w:space="0" w:color="95B3D7"/>
              <w:bottom w:val="single" w:sz="4" w:space="0" w:color="95B3D7"/>
              <w:right w:val="single" w:sz="4" w:space="0" w:color="4472C4"/>
            </w:tcBorders>
            <w:shd w:val="clear" w:color="auto" w:fill="DCE6F1"/>
            <w:noWrap/>
            <w:vAlign w:val="bottom"/>
            <w:hideMark/>
          </w:tcPr>
          <w:p w14:paraId="11922E49" w14:textId="77777777" w:rsidR="00282567" w:rsidRDefault="00282567">
            <w:pPr>
              <w:rPr>
                <w:rFonts w:ascii="Arial" w:hAnsi="Arial"/>
                <w:sz w:val="20"/>
                <w:szCs w:val="28"/>
              </w:rPr>
            </w:pPr>
            <w:r>
              <w:rPr>
                <w:rFonts w:ascii="Arial" w:hAnsi="Arial"/>
                <w:sz w:val="20"/>
                <w:szCs w:val="28"/>
              </w:rPr>
              <w:t>Zlínský</w:t>
            </w:r>
          </w:p>
        </w:tc>
        <w:tc>
          <w:tcPr>
            <w:tcW w:w="3117" w:type="dxa"/>
            <w:tcBorders>
              <w:top w:val="single" w:sz="4" w:space="0" w:color="95B3D7"/>
              <w:left w:val="single" w:sz="4" w:space="0" w:color="4472C4"/>
              <w:bottom w:val="single" w:sz="4" w:space="0" w:color="95B3D7"/>
              <w:right w:val="single" w:sz="4" w:space="0" w:color="4472C4"/>
            </w:tcBorders>
            <w:shd w:val="clear" w:color="auto" w:fill="DCE6F1"/>
            <w:noWrap/>
            <w:vAlign w:val="bottom"/>
            <w:hideMark/>
          </w:tcPr>
          <w:p w14:paraId="300672DF" w14:textId="77777777" w:rsidR="00282567" w:rsidRDefault="00282567">
            <w:pPr>
              <w:ind w:right="1349"/>
              <w:jc w:val="right"/>
              <w:rPr>
                <w:rFonts w:ascii="Arial" w:hAnsi="Arial"/>
                <w:sz w:val="20"/>
                <w:szCs w:val="28"/>
              </w:rPr>
            </w:pPr>
            <w:r>
              <w:rPr>
                <w:rFonts w:ascii="Arial" w:hAnsi="Arial"/>
                <w:sz w:val="20"/>
                <w:szCs w:val="28"/>
              </w:rPr>
              <w:t>5,35</w:t>
            </w:r>
          </w:p>
        </w:tc>
        <w:tc>
          <w:tcPr>
            <w:tcW w:w="3617" w:type="dxa"/>
            <w:tcBorders>
              <w:top w:val="single" w:sz="4" w:space="0" w:color="95B3D7"/>
              <w:left w:val="single" w:sz="4" w:space="0" w:color="4472C4"/>
              <w:bottom w:val="single" w:sz="4" w:space="0" w:color="95B3D7"/>
              <w:right w:val="single" w:sz="4" w:space="0" w:color="95B3D7"/>
            </w:tcBorders>
            <w:shd w:val="clear" w:color="auto" w:fill="DCE6F1"/>
            <w:noWrap/>
            <w:vAlign w:val="bottom"/>
            <w:hideMark/>
          </w:tcPr>
          <w:p w14:paraId="0271B260" w14:textId="77777777" w:rsidR="00282567" w:rsidRDefault="00282567">
            <w:pPr>
              <w:ind w:right="922"/>
              <w:jc w:val="right"/>
              <w:rPr>
                <w:rFonts w:ascii="Arial" w:hAnsi="Arial"/>
                <w:sz w:val="20"/>
                <w:szCs w:val="28"/>
              </w:rPr>
            </w:pPr>
            <w:r>
              <w:rPr>
                <w:rFonts w:ascii="Arial" w:hAnsi="Arial"/>
                <w:sz w:val="20"/>
                <w:szCs w:val="28"/>
              </w:rPr>
              <w:t>74 914 000</w:t>
            </w:r>
          </w:p>
        </w:tc>
      </w:tr>
      <w:tr w:rsidR="00282567" w14:paraId="586631DC" w14:textId="77777777" w:rsidTr="007E2A09">
        <w:trPr>
          <w:trHeight w:val="300"/>
        </w:trPr>
        <w:tc>
          <w:tcPr>
            <w:tcW w:w="3117" w:type="dxa"/>
            <w:tcBorders>
              <w:top w:val="single" w:sz="4" w:space="0" w:color="95B3D7"/>
              <w:left w:val="single" w:sz="4" w:space="0" w:color="95B3D7"/>
              <w:bottom w:val="single" w:sz="4" w:space="0" w:color="95B3D7"/>
              <w:right w:val="single" w:sz="4" w:space="0" w:color="4472C4"/>
            </w:tcBorders>
            <w:noWrap/>
            <w:vAlign w:val="bottom"/>
            <w:hideMark/>
          </w:tcPr>
          <w:p w14:paraId="24C138E7" w14:textId="77777777" w:rsidR="00282567" w:rsidRDefault="00282567">
            <w:pPr>
              <w:rPr>
                <w:rFonts w:ascii="Arial" w:hAnsi="Arial"/>
                <w:sz w:val="20"/>
                <w:szCs w:val="28"/>
              </w:rPr>
            </w:pPr>
            <w:r>
              <w:rPr>
                <w:rFonts w:ascii="Arial" w:hAnsi="Arial"/>
                <w:sz w:val="20"/>
                <w:szCs w:val="28"/>
              </w:rPr>
              <w:t>Moravskoslezský</w:t>
            </w:r>
          </w:p>
        </w:tc>
        <w:tc>
          <w:tcPr>
            <w:tcW w:w="3117" w:type="dxa"/>
            <w:tcBorders>
              <w:top w:val="single" w:sz="4" w:space="0" w:color="95B3D7"/>
              <w:left w:val="single" w:sz="4" w:space="0" w:color="4472C4"/>
              <w:bottom w:val="single" w:sz="4" w:space="0" w:color="95B3D7"/>
              <w:right w:val="single" w:sz="4" w:space="0" w:color="4472C4"/>
            </w:tcBorders>
            <w:noWrap/>
            <w:vAlign w:val="bottom"/>
            <w:hideMark/>
          </w:tcPr>
          <w:p w14:paraId="23B0C665" w14:textId="77777777" w:rsidR="00282567" w:rsidRDefault="00282567">
            <w:pPr>
              <w:ind w:right="1349"/>
              <w:jc w:val="right"/>
              <w:rPr>
                <w:rFonts w:ascii="Arial" w:hAnsi="Arial"/>
                <w:sz w:val="20"/>
                <w:szCs w:val="28"/>
              </w:rPr>
            </w:pPr>
            <w:r>
              <w:rPr>
                <w:rFonts w:ascii="Arial" w:hAnsi="Arial"/>
                <w:sz w:val="20"/>
                <w:szCs w:val="28"/>
              </w:rPr>
              <w:t>15,64</w:t>
            </w:r>
          </w:p>
        </w:tc>
        <w:tc>
          <w:tcPr>
            <w:tcW w:w="3617" w:type="dxa"/>
            <w:tcBorders>
              <w:top w:val="single" w:sz="4" w:space="0" w:color="95B3D7"/>
              <w:left w:val="single" w:sz="4" w:space="0" w:color="4472C4"/>
              <w:bottom w:val="single" w:sz="4" w:space="0" w:color="95B3D7"/>
              <w:right w:val="single" w:sz="4" w:space="0" w:color="95B3D7"/>
            </w:tcBorders>
            <w:noWrap/>
            <w:vAlign w:val="bottom"/>
            <w:hideMark/>
          </w:tcPr>
          <w:p w14:paraId="4FB7C750" w14:textId="77777777" w:rsidR="00282567" w:rsidRDefault="00282567">
            <w:pPr>
              <w:ind w:right="922"/>
              <w:jc w:val="right"/>
              <w:rPr>
                <w:rFonts w:ascii="Arial" w:hAnsi="Arial"/>
                <w:sz w:val="20"/>
                <w:szCs w:val="28"/>
              </w:rPr>
            </w:pPr>
            <w:r>
              <w:rPr>
                <w:rFonts w:ascii="Arial" w:hAnsi="Arial"/>
                <w:sz w:val="20"/>
                <w:szCs w:val="28"/>
              </w:rPr>
              <w:t>218 960 000</w:t>
            </w:r>
          </w:p>
        </w:tc>
      </w:tr>
      <w:tr w:rsidR="00282567" w14:paraId="3F8D1EE2" w14:textId="77777777" w:rsidTr="007E2A09">
        <w:trPr>
          <w:trHeight w:val="300"/>
        </w:trPr>
        <w:tc>
          <w:tcPr>
            <w:tcW w:w="3117" w:type="dxa"/>
            <w:tcBorders>
              <w:top w:val="single" w:sz="4" w:space="0" w:color="95B3D7"/>
              <w:left w:val="single" w:sz="4" w:space="0" w:color="95B3D7"/>
              <w:bottom w:val="single" w:sz="4" w:space="0" w:color="95B3D7"/>
              <w:right w:val="single" w:sz="4" w:space="0" w:color="4472C4"/>
            </w:tcBorders>
            <w:shd w:val="clear" w:color="auto" w:fill="D5DCE4"/>
            <w:noWrap/>
            <w:vAlign w:val="bottom"/>
            <w:hideMark/>
          </w:tcPr>
          <w:p w14:paraId="6393B10B" w14:textId="77777777" w:rsidR="00282567" w:rsidRDefault="00282567">
            <w:pPr>
              <w:rPr>
                <w:rFonts w:ascii="Arial" w:hAnsi="Arial"/>
                <w:sz w:val="20"/>
                <w:szCs w:val="28"/>
              </w:rPr>
            </w:pPr>
            <w:r>
              <w:rPr>
                <w:rFonts w:ascii="Arial" w:hAnsi="Arial"/>
                <w:sz w:val="20"/>
                <w:szCs w:val="28"/>
              </w:rPr>
              <w:t>Součet</w:t>
            </w:r>
          </w:p>
        </w:tc>
        <w:tc>
          <w:tcPr>
            <w:tcW w:w="3117" w:type="dxa"/>
            <w:tcBorders>
              <w:top w:val="single" w:sz="4" w:space="0" w:color="95B3D7"/>
              <w:left w:val="single" w:sz="4" w:space="0" w:color="4472C4"/>
              <w:bottom w:val="single" w:sz="4" w:space="0" w:color="95B3D7"/>
              <w:right w:val="single" w:sz="4" w:space="0" w:color="4472C4"/>
            </w:tcBorders>
            <w:shd w:val="clear" w:color="auto" w:fill="D5DCE4"/>
            <w:noWrap/>
            <w:vAlign w:val="bottom"/>
            <w:hideMark/>
          </w:tcPr>
          <w:p w14:paraId="33FBD0F5" w14:textId="77777777" w:rsidR="00282567" w:rsidRDefault="00282567">
            <w:pPr>
              <w:ind w:right="1349"/>
              <w:jc w:val="right"/>
              <w:rPr>
                <w:rFonts w:ascii="Arial" w:hAnsi="Arial"/>
                <w:sz w:val="20"/>
                <w:szCs w:val="28"/>
              </w:rPr>
            </w:pPr>
            <w:r>
              <w:rPr>
                <w:rFonts w:ascii="Arial" w:hAnsi="Arial"/>
                <w:sz w:val="20"/>
                <w:szCs w:val="28"/>
              </w:rPr>
              <w:t>100</w:t>
            </w:r>
          </w:p>
        </w:tc>
        <w:tc>
          <w:tcPr>
            <w:tcW w:w="3617" w:type="dxa"/>
            <w:tcBorders>
              <w:top w:val="single" w:sz="4" w:space="0" w:color="95B3D7"/>
              <w:left w:val="single" w:sz="4" w:space="0" w:color="4472C4"/>
              <w:bottom w:val="single" w:sz="4" w:space="0" w:color="95B3D7"/>
              <w:right w:val="single" w:sz="4" w:space="0" w:color="95B3D7"/>
            </w:tcBorders>
            <w:shd w:val="clear" w:color="auto" w:fill="D5DCE4"/>
            <w:noWrap/>
            <w:vAlign w:val="bottom"/>
            <w:hideMark/>
          </w:tcPr>
          <w:p w14:paraId="5E8C184D" w14:textId="77777777" w:rsidR="00282567" w:rsidRDefault="00282567">
            <w:pPr>
              <w:ind w:right="922"/>
              <w:jc w:val="right"/>
              <w:rPr>
                <w:rFonts w:ascii="Arial" w:hAnsi="Arial"/>
                <w:sz w:val="20"/>
                <w:szCs w:val="28"/>
              </w:rPr>
            </w:pPr>
            <w:r>
              <w:rPr>
                <w:rFonts w:ascii="Arial" w:hAnsi="Arial"/>
                <w:sz w:val="20"/>
                <w:szCs w:val="28"/>
              </w:rPr>
              <w:t>1 400 000 000</w:t>
            </w:r>
          </w:p>
        </w:tc>
      </w:tr>
    </w:tbl>
    <w:p w14:paraId="23E6A6EF" w14:textId="77777777" w:rsidR="00282567" w:rsidRDefault="00282567" w:rsidP="007E2A09">
      <w:pPr>
        <w:pStyle w:val="TextZP"/>
        <w:spacing w:after="0" w:line="240" w:lineRule="auto"/>
        <w:rPr>
          <w:rFonts w:ascii="Arial" w:hAnsi="Arial" w:cs="Times New Roman"/>
          <w:color w:val="auto"/>
          <w:szCs w:val="28"/>
          <w:lang w:eastAsia="en-US"/>
        </w:rPr>
      </w:pPr>
    </w:p>
    <w:p w14:paraId="629EE8B4" w14:textId="77777777" w:rsidR="00282567" w:rsidRDefault="00282567" w:rsidP="007E2A09">
      <w:pPr>
        <w:pStyle w:val="TextZP"/>
        <w:spacing w:after="0" w:line="240" w:lineRule="auto"/>
        <w:rPr>
          <w:rFonts w:ascii="Arial" w:hAnsi="Arial" w:cs="Times New Roman"/>
          <w:color w:val="auto"/>
          <w:szCs w:val="28"/>
          <w:lang w:eastAsia="en-US"/>
        </w:rPr>
      </w:pPr>
      <w:r>
        <w:rPr>
          <w:rFonts w:ascii="Arial" w:hAnsi="Arial" w:cs="Times New Roman"/>
          <w:color w:val="auto"/>
          <w:szCs w:val="28"/>
          <w:lang w:eastAsia="en-US"/>
        </w:rPr>
        <w:t>Pokud bude v kraji velký zájem žadatelů a z toho vyplývající potřeba dalších finančních prostředků, dojde k poměrovému přerozdělení zbývajících disponibilních finančních prostředků maximálně do celkové výše dotace požadované v žádostech zařazených do zásobníku.</w:t>
      </w:r>
    </w:p>
    <w:p w14:paraId="05521EFB" w14:textId="77777777" w:rsidR="00282567" w:rsidRDefault="00282567" w:rsidP="007E2A09">
      <w:pPr>
        <w:jc w:val="both"/>
        <w:rPr>
          <w:rFonts w:ascii="Arial" w:hAnsi="Arial"/>
          <w:sz w:val="20"/>
          <w:szCs w:val="28"/>
        </w:rPr>
      </w:pPr>
    </w:p>
    <w:p w14:paraId="3A7B31A4" w14:textId="77777777" w:rsidR="00282567" w:rsidRDefault="00282567" w:rsidP="007E2A09">
      <w:pPr>
        <w:jc w:val="both"/>
        <w:rPr>
          <w:rFonts w:ascii="Arial" w:hAnsi="Arial"/>
          <w:sz w:val="20"/>
          <w:szCs w:val="28"/>
        </w:rPr>
      </w:pPr>
      <w:r>
        <w:rPr>
          <w:rFonts w:ascii="Arial" w:hAnsi="Arial"/>
          <w:sz w:val="20"/>
          <w:szCs w:val="28"/>
        </w:rPr>
        <w:t>Předmětem podpory v rámci výzvy kotlíkových dotací pro domácnosti s nižšími příjmy bude znovu výhradně výměna zastaralých kotlů na pevná paliva nesplňujících emisní třídu 3, 4 a 5 v rodinných domech, bytových jednotkách v bytových domech nebo trvale obývaných stavbách pro rodinnou rekreaci v Jihočeském kraji za tepelné čerpadlo či kotel na biomasu s automatickým nebo ručním přikládáním. Podpora se již nebude vztahovat na pořízení nových kondenzačních kotlů na zemní plyn a i nadále nebude možné podpořit žádné nové kotle spalující uhlí. Dotaci bude možné získat pouze na nové zdroje tepla zaregistrované v Seznamu výrobků a technologií vedeném Státním fondem životního prostředí, resp. na zdroje tepla splňující požadavky na ekodesign dle příslušných nařízení EU.</w:t>
      </w:r>
    </w:p>
    <w:p w14:paraId="232C2BBC" w14:textId="77777777" w:rsidR="00282567" w:rsidRDefault="00282567" w:rsidP="007E2A09">
      <w:pPr>
        <w:jc w:val="both"/>
        <w:rPr>
          <w:rFonts w:ascii="Arial" w:hAnsi="Arial"/>
          <w:sz w:val="20"/>
          <w:szCs w:val="28"/>
        </w:rPr>
      </w:pPr>
    </w:p>
    <w:p w14:paraId="709685E3" w14:textId="77777777" w:rsidR="00282567" w:rsidRDefault="00282567" w:rsidP="007E2A09">
      <w:pPr>
        <w:jc w:val="both"/>
        <w:rPr>
          <w:rFonts w:ascii="Arial" w:hAnsi="Arial"/>
          <w:sz w:val="20"/>
          <w:szCs w:val="28"/>
        </w:rPr>
      </w:pPr>
      <w:r>
        <w:rPr>
          <w:rFonts w:ascii="Arial" w:hAnsi="Arial"/>
          <w:sz w:val="20"/>
          <w:szCs w:val="28"/>
        </w:rPr>
        <w:t xml:space="preserve">Maximální dotační sazby pro jednotlivé zdroje tepla v rámci kotlíkových dotací pro domácnosti s nižšími příjmy kopírují 1. výzvu z roku 2022 a jsou nastaveny takto: </w:t>
      </w:r>
    </w:p>
    <w:p w14:paraId="599B5750" w14:textId="77777777" w:rsidR="00282567" w:rsidRDefault="00282567" w:rsidP="007E2A09">
      <w:pPr>
        <w:jc w:val="both"/>
        <w:rPr>
          <w:rFonts w:ascii="Arial" w:hAnsi="Arial"/>
          <w:sz w:val="20"/>
          <w:szCs w:val="28"/>
        </w:rPr>
      </w:pPr>
    </w:p>
    <w:p w14:paraId="37719006" w14:textId="77777777" w:rsidR="00282567" w:rsidRDefault="00282567" w:rsidP="00282567">
      <w:pPr>
        <w:pStyle w:val="Odstavecseseznamem"/>
        <w:numPr>
          <w:ilvl w:val="0"/>
          <w:numId w:val="13"/>
        </w:numPr>
        <w:ind w:left="284" w:hanging="284"/>
        <w:jc w:val="both"/>
        <w:rPr>
          <w:rFonts w:ascii="Arial" w:hAnsi="Arial"/>
          <w:sz w:val="20"/>
          <w:szCs w:val="28"/>
        </w:rPr>
      </w:pPr>
      <w:r>
        <w:rPr>
          <w:rFonts w:ascii="Arial" w:hAnsi="Arial"/>
          <w:sz w:val="20"/>
          <w:szCs w:val="28"/>
        </w:rPr>
        <w:t xml:space="preserve">95 % způsobilých výdajů, max. 130 000,- Kč, v případě pořízení kotle na biomasu s automatickým či ručním přikládáním, </w:t>
      </w:r>
    </w:p>
    <w:p w14:paraId="1AAF089A" w14:textId="77777777" w:rsidR="00282567" w:rsidRDefault="00282567" w:rsidP="00282567">
      <w:pPr>
        <w:pStyle w:val="Odstavecseseznamem"/>
        <w:numPr>
          <w:ilvl w:val="0"/>
          <w:numId w:val="13"/>
        </w:numPr>
        <w:ind w:left="284" w:hanging="284"/>
        <w:jc w:val="both"/>
        <w:rPr>
          <w:rFonts w:ascii="Arial" w:hAnsi="Arial"/>
          <w:sz w:val="20"/>
          <w:szCs w:val="28"/>
        </w:rPr>
      </w:pPr>
      <w:r>
        <w:rPr>
          <w:rFonts w:ascii="Arial" w:hAnsi="Arial"/>
          <w:sz w:val="20"/>
          <w:szCs w:val="28"/>
        </w:rPr>
        <w:t>95 % způsobilých výdajů, max. 180 000,- Kč, v případě pořízení tepelného čerpadla.</w:t>
      </w:r>
    </w:p>
    <w:p w14:paraId="47E9CE4B" w14:textId="77777777" w:rsidR="00282567" w:rsidRDefault="00282567" w:rsidP="007E2A09">
      <w:pPr>
        <w:pStyle w:val="Odstavecseseznamem"/>
        <w:ind w:left="0"/>
        <w:jc w:val="both"/>
        <w:rPr>
          <w:rFonts w:ascii="Arial" w:hAnsi="Arial"/>
          <w:sz w:val="20"/>
          <w:szCs w:val="28"/>
        </w:rPr>
      </w:pPr>
    </w:p>
    <w:p w14:paraId="6F9BDE9F" w14:textId="77777777" w:rsidR="00282567" w:rsidRDefault="00282567" w:rsidP="007E2A09">
      <w:pPr>
        <w:jc w:val="both"/>
        <w:rPr>
          <w:rFonts w:ascii="Arial" w:hAnsi="Arial"/>
          <w:sz w:val="20"/>
          <w:szCs w:val="28"/>
        </w:rPr>
      </w:pPr>
      <w:r>
        <w:rPr>
          <w:rFonts w:ascii="Arial" w:hAnsi="Arial"/>
          <w:sz w:val="20"/>
          <w:szCs w:val="28"/>
        </w:rPr>
        <w:t xml:space="preserve">O dotaci mohou žádat vlastníci definovaných nemovitostí z celého Jihočeského kraje, kteří v dané nemovitosti trvale bydlí a zároveň splňují stanovené kritérium nízkopříjmovosti. Mezi domácnosti s nižšími příjmy budou nově spadat pouze domácnosti tvořené výhradně osobami pobírajícími starobní důchod nebo invalidní důchod 3. stupně a dále domácnosti, v nichž žadatel, resp. člen domácnosti od 1. 1. 2022 pobírá či aspoň po určitý časový úsek pobíral příspěvek na bydlení. Ostatní žadatelé mohou podat žádost </w:t>
      </w:r>
      <w:r>
        <w:rPr>
          <w:rFonts w:ascii="Arial" w:hAnsi="Arial"/>
          <w:sz w:val="20"/>
          <w:szCs w:val="28"/>
        </w:rPr>
        <w:br/>
        <w:t>o kotlíkovou dotaci do běžícího programu Nová zelená úsporám administrovaného Státním fondem životního prostředí.</w:t>
      </w:r>
    </w:p>
    <w:p w14:paraId="49B86FA0" w14:textId="77777777" w:rsidR="00282567" w:rsidRDefault="00282567" w:rsidP="007E2A09">
      <w:pPr>
        <w:jc w:val="both"/>
        <w:rPr>
          <w:rFonts w:ascii="Arial" w:hAnsi="Arial"/>
          <w:sz w:val="20"/>
          <w:szCs w:val="28"/>
        </w:rPr>
      </w:pPr>
    </w:p>
    <w:p w14:paraId="439F1C53" w14:textId="77777777" w:rsidR="00282567" w:rsidRDefault="00282567" w:rsidP="007E2A09">
      <w:pPr>
        <w:jc w:val="both"/>
        <w:rPr>
          <w:rFonts w:ascii="Arial" w:hAnsi="Arial"/>
          <w:sz w:val="20"/>
          <w:szCs w:val="28"/>
        </w:rPr>
      </w:pPr>
      <w:r>
        <w:rPr>
          <w:rFonts w:ascii="Arial" w:hAnsi="Arial"/>
          <w:sz w:val="20"/>
          <w:szCs w:val="28"/>
        </w:rPr>
        <w:t>Uznatelnost výdajů v rámci podaných žádostí je od 1. 1. 2021, na dříve provedené výměny dotaci čerpat nelze. Důvodem je financování kotlíkových dotací z evropských fondů prostřednictvím OP ŽP 2021-2027, kde je způsobilost výdajů vždy vázána na začátek programového období.</w:t>
      </w:r>
    </w:p>
    <w:p w14:paraId="4A0E75C4" w14:textId="77777777" w:rsidR="00282567" w:rsidRDefault="00282567" w:rsidP="007E2A09">
      <w:pPr>
        <w:jc w:val="both"/>
        <w:rPr>
          <w:rFonts w:ascii="Arial" w:hAnsi="Arial"/>
          <w:sz w:val="20"/>
          <w:szCs w:val="28"/>
        </w:rPr>
      </w:pPr>
    </w:p>
    <w:p w14:paraId="27C8C356" w14:textId="77777777" w:rsidR="00282567" w:rsidRDefault="00282567" w:rsidP="007E2A09">
      <w:pPr>
        <w:pStyle w:val="TextZP"/>
        <w:spacing w:after="0" w:line="240" w:lineRule="auto"/>
        <w:rPr>
          <w:rFonts w:ascii="Arial" w:hAnsi="Arial" w:cs="Times New Roman"/>
          <w:color w:val="auto"/>
          <w:szCs w:val="28"/>
          <w:lang w:eastAsia="en-US"/>
        </w:rPr>
      </w:pPr>
      <w:r>
        <w:rPr>
          <w:rFonts w:ascii="Arial" w:hAnsi="Arial"/>
          <w:szCs w:val="28"/>
        </w:rPr>
        <w:br w:type="page"/>
      </w:r>
      <w:r>
        <w:rPr>
          <w:rFonts w:ascii="Arial" w:hAnsi="Arial" w:cs="Times New Roman"/>
          <w:color w:val="auto"/>
          <w:szCs w:val="28"/>
          <w:lang w:eastAsia="en-US"/>
        </w:rPr>
        <w:t>Proplácení dotací žadatelům je kraj dle Závazných pokynů vydaných MŽP povinen umožnit dvěma způsoby:</w:t>
      </w:r>
    </w:p>
    <w:p w14:paraId="5BFA79A1" w14:textId="77777777" w:rsidR="00282567" w:rsidRDefault="00282567" w:rsidP="007E2A09">
      <w:pPr>
        <w:pStyle w:val="TextZP"/>
        <w:spacing w:after="0" w:line="240" w:lineRule="auto"/>
        <w:rPr>
          <w:rFonts w:ascii="Arial" w:hAnsi="Arial" w:cs="Times New Roman"/>
          <w:color w:val="auto"/>
          <w:szCs w:val="28"/>
          <w:lang w:eastAsia="en-US"/>
        </w:rPr>
      </w:pPr>
    </w:p>
    <w:p w14:paraId="331908F4" w14:textId="77777777" w:rsidR="00282567" w:rsidRDefault="00282567" w:rsidP="007E2A09">
      <w:pPr>
        <w:pStyle w:val="TextZP"/>
        <w:numPr>
          <w:ilvl w:val="6"/>
          <w:numId w:val="11"/>
        </w:numPr>
        <w:spacing w:after="0" w:line="240" w:lineRule="auto"/>
        <w:ind w:left="284" w:hanging="284"/>
        <w:rPr>
          <w:rFonts w:ascii="Arial" w:hAnsi="Arial" w:cs="Times New Roman"/>
          <w:color w:val="auto"/>
          <w:szCs w:val="28"/>
          <w:lang w:eastAsia="en-US"/>
        </w:rPr>
      </w:pPr>
      <w:r>
        <w:rPr>
          <w:rFonts w:ascii="Arial" w:hAnsi="Arial" w:cs="Times New Roman"/>
          <w:color w:val="auto"/>
          <w:szCs w:val="28"/>
          <w:lang w:eastAsia="en-US"/>
        </w:rPr>
        <w:t xml:space="preserve">ex post, tj. proplacení dotace proběhne až zpětně po doložení dokladů prokazujících instalaci a úhradu nového zdroje tepla, </w:t>
      </w:r>
    </w:p>
    <w:p w14:paraId="62794EF5" w14:textId="77777777" w:rsidR="00282567" w:rsidRDefault="00282567" w:rsidP="007E2A09">
      <w:pPr>
        <w:pStyle w:val="TextZP"/>
        <w:spacing w:after="0" w:line="240" w:lineRule="auto"/>
        <w:rPr>
          <w:rFonts w:ascii="Arial" w:hAnsi="Arial" w:cs="Times New Roman"/>
          <w:color w:val="auto"/>
          <w:szCs w:val="28"/>
          <w:lang w:eastAsia="en-US"/>
        </w:rPr>
      </w:pPr>
      <w:r>
        <w:rPr>
          <w:rFonts w:ascii="Arial" w:hAnsi="Arial" w:cs="Times New Roman"/>
          <w:color w:val="auto"/>
          <w:szCs w:val="28"/>
          <w:lang w:eastAsia="en-US"/>
        </w:rPr>
        <w:t xml:space="preserve">nebo </w:t>
      </w:r>
    </w:p>
    <w:p w14:paraId="62D6F06F" w14:textId="77777777" w:rsidR="00282567" w:rsidRDefault="00282567" w:rsidP="007E2A09">
      <w:pPr>
        <w:pStyle w:val="TextZP"/>
        <w:numPr>
          <w:ilvl w:val="6"/>
          <w:numId w:val="11"/>
        </w:numPr>
        <w:spacing w:after="0" w:line="240" w:lineRule="auto"/>
        <w:ind w:left="284" w:hanging="284"/>
        <w:rPr>
          <w:rFonts w:ascii="Arial" w:hAnsi="Arial" w:cs="Times New Roman"/>
          <w:color w:val="auto"/>
          <w:szCs w:val="28"/>
          <w:lang w:eastAsia="en-US"/>
        </w:rPr>
      </w:pPr>
      <w:r>
        <w:rPr>
          <w:rFonts w:ascii="Arial" w:hAnsi="Arial" w:cs="Times New Roman"/>
          <w:color w:val="auto"/>
          <w:szCs w:val="28"/>
          <w:lang w:eastAsia="en-US"/>
        </w:rPr>
        <w:t>ex ante, tzn. zálohově ve výši minimálně 60 % dotace, přičemž záloha bude žadateli uvolněna na základě předložené faktury (zálohové nebo celkové) vystavené dodavatelem. Po dokončení a doložení realizace výměny kotle bude zbylá částka proplacena na základě doložených dokladů.</w:t>
      </w:r>
    </w:p>
    <w:p w14:paraId="6AD2AD96" w14:textId="77777777" w:rsidR="00282567" w:rsidRDefault="00282567" w:rsidP="007E2A09">
      <w:pPr>
        <w:pStyle w:val="TextZP"/>
        <w:spacing w:after="0" w:line="240" w:lineRule="auto"/>
        <w:ind w:left="284"/>
        <w:rPr>
          <w:rFonts w:ascii="Arial" w:hAnsi="Arial" w:cs="Times New Roman"/>
          <w:color w:val="auto"/>
          <w:szCs w:val="28"/>
          <w:lang w:eastAsia="en-US"/>
        </w:rPr>
      </w:pPr>
    </w:p>
    <w:p w14:paraId="2F5A3679" w14:textId="77777777" w:rsidR="00282567" w:rsidRDefault="00282567" w:rsidP="007E2A09">
      <w:pPr>
        <w:jc w:val="both"/>
        <w:rPr>
          <w:rFonts w:ascii="Arial" w:hAnsi="Arial"/>
          <w:sz w:val="20"/>
          <w:szCs w:val="28"/>
        </w:rPr>
      </w:pPr>
      <w:r>
        <w:rPr>
          <w:rFonts w:ascii="Arial" w:hAnsi="Arial"/>
          <w:sz w:val="20"/>
          <w:szCs w:val="28"/>
        </w:rPr>
        <w:t>Z celkové částky způsobilých výdajů schválených v podaném projektu je určen paušál ve výši 7,5 % na administraci žádostí (personální a provozní/režijní výdaje) a na publicitu, přičemž tento paušál bude vypočten a automaticky refundován z objemu dotace proplacené konečným příjemcům (fyzickým osobám). Aplikováno přitom bude zjednodušené vykazování, tzn. profinancování paušálu nemusí být podloženo doklady. Pokud by částka na administraci žádostí a publicitu financovaná ze způsobilých výdajů nebyla dostatečná (kraj musí zadministrovat i žádosti, pro které nakonec dotace schválena nebude, nebo od nichž žadatelé sami odstoupí, paušál na administraci se ale bude vypočítávat pouze z proplacených žádostí), bude využita částka nezpůsobilých výdajů schválená zastupitelstvem kraje v roce 2022 pro běžící projekt „Kotlíkové dotace pro domácnosti s nižšími příjmy v Jihočeském kraji“, aby byla zajištěna plynulá administrace podaných žádostí. Nezpůsobilé výdaje budou čerpány v minimální možné míře a pouze v případě nutnosti.</w:t>
      </w:r>
    </w:p>
    <w:p w14:paraId="32E897D9" w14:textId="77777777" w:rsidR="00282567" w:rsidRDefault="00282567" w:rsidP="007E2A09">
      <w:pPr>
        <w:jc w:val="both"/>
        <w:rPr>
          <w:rFonts w:ascii="Arial" w:hAnsi="Arial"/>
          <w:sz w:val="20"/>
          <w:szCs w:val="28"/>
        </w:rPr>
      </w:pPr>
    </w:p>
    <w:p w14:paraId="20163C25" w14:textId="77777777" w:rsidR="00282567" w:rsidRDefault="00282567" w:rsidP="007E2A09">
      <w:pPr>
        <w:jc w:val="both"/>
        <w:rPr>
          <w:rFonts w:ascii="Arial" w:hAnsi="Arial"/>
          <w:sz w:val="20"/>
          <w:szCs w:val="28"/>
        </w:rPr>
      </w:pPr>
      <w:r>
        <w:rPr>
          <w:rFonts w:ascii="Arial" w:hAnsi="Arial"/>
          <w:sz w:val="20"/>
          <w:szCs w:val="28"/>
        </w:rPr>
        <w:t xml:space="preserve">Projekt Jihočeského kraje bude podán do OP ŽP 2021-2027 po projednání zastupitelstvem kraje. Vyhlášení výzvy příslušného dotačního programu na celou částku přidělenou Jihočeskému kraji na výměnu kotlů je naplánováno na 26. 5. 2023 (po projednání radou kraje na zasedání 25. 5. 2023), příjem žádostí by pak byl zahájen 26. 6. 2023 (v odpoledních hodinách) po uplynutí povinné 30ti denní lhůty dle zákona č. 250/2000 Sb., optimálně už s vydaným Rozhodnutím o poskytnutí dotace, které bude kraji garantovat financování přijatých žádostí. Příjem žádostí fyzických osob musí bude ukončen 31. 8. 2024 (od 1. 9. 2024 je provoz kotlů nesplňujících emisní třídu 3, 4 a 5, na jejichž výměnu se kotlíkové dotace pro domácnosti s nižšími příjmy vztahují, zakázán). </w:t>
      </w:r>
    </w:p>
    <w:p w14:paraId="100E28E4" w14:textId="77777777" w:rsidR="00282567" w:rsidRDefault="00282567" w:rsidP="007E2A09">
      <w:pPr>
        <w:jc w:val="both"/>
        <w:rPr>
          <w:rFonts w:ascii="Arial" w:hAnsi="Arial"/>
          <w:sz w:val="20"/>
          <w:szCs w:val="28"/>
        </w:rPr>
      </w:pPr>
    </w:p>
    <w:p w14:paraId="0A437751" w14:textId="77777777" w:rsidR="00282567" w:rsidRDefault="00282567" w:rsidP="007E2A09">
      <w:pPr>
        <w:jc w:val="both"/>
        <w:rPr>
          <w:rFonts w:ascii="Arial" w:hAnsi="Arial"/>
          <w:sz w:val="20"/>
          <w:szCs w:val="28"/>
        </w:rPr>
      </w:pPr>
      <w:r>
        <w:rPr>
          <w:rFonts w:ascii="Arial" w:hAnsi="Arial"/>
          <w:sz w:val="20"/>
          <w:szCs w:val="28"/>
        </w:rPr>
        <w:t xml:space="preserve">Žádosti budou předkládány v první fázi elektronicky prostřednictvím webové aplikace Portál občana Jihočeského kraje s následným povinným doložením podepsané žádosti a příloh do 20 pracovních dnů </w:t>
      </w:r>
      <w:r>
        <w:rPr>
          <w:rFonts w:ascii="Arial" w:hAnsi="Arial"/>
          <w:sz w:val="20"/>
          <w:szCs w:val="28"/>
        </w:rPr>
        <w:br/>
        <w:t xml:space="preserve">(v listinné podobě, nebo datovou schránkou). Hlavním kritériem pro získání dotace bude (při splnění ostatních podmínek dotačního programu) stejně jako doposud čas podání elektronické žádosti. Pro podání žádosti bude připraven podrobný návod. K dispozici budou dále stejně jako v minulých kolech kromě Pravidel dotačního programu také vzory požadovaných příloh. Spuštění příjmu žádostí budou předcházet semináře pro žadatele (ve spolupráci s MAS) a informace budou kromě webových stránek kraje prezentovány i v médiích a na sociálních sítích a budou rozeslány obcím, MAS i odborným firmám v Jihočeském kraji. </w:t>
      </w:r>
    </w:p>
    <w:p w14:paraId="594512A6" w14:textId="77777777" w:rsidR="00282567" w:rsidRDefault="00282567" w:rsidP="007E2A09">
      <w:pPr>
        <w:pStyle w:val="KUJKnormal"/>
      </w:pPr>
    </w:p>
    <w:p w14:paraId="49E95B4C" w14:textId="77777777" w:rsidR="00282567" w:rsidRDefault="00282567" w:rsidP="007E2A09">
      <w:pPr>
        <w:jc w:val="both"/>
        <w:rPr>
          <w:rFonts w:ascii="Arial" w:eastAsia="Times New Roman" w:hAnsi="Arial"/>
          <w:bCs/>
          <w:sz w:val="20"/>
          <w:szCs w:val="20"/>
        </w:rPr>
      </w:pPr>
      <w:r>
        <w:rPr>
          <w:rFonts w:ascii="Arial" w:eastAsia="Times New Roman" w:hAnsi="Arial"/>
          <w:bCs/>
          <w:sz w:val="20"/>
          <w:szCs w:val="20"/>
        </w:rPr>
        <w:t>Návrh projednala dne 27. 4. 2023 Rada Jihočeského kraje, která svým usnesením č. 498/2023/RK-66 doporučila podání projektu do OP ŽP schválit.</w:t>
      </w:r>
    </w:p>
    <w:p w14:paraId="18604927" w14:textId="77777777" w:rsidR="00282567" w:rsidRDefault="00282567" w:rsidP="007E2A09">
      <w:pPr>
        <w:jc w:val="both"/>
        <w:rPr>
          <w:rFonts w:ascii="Arial" w:eastAsia="Times New Roman" w:hAnsi="Arial"/>
          <w:bCs/>
          <w:sz w:val="20"/>
          <w:szCs w:val="20"/>
        </w:rPr>
      </w:pPr>
    </w:p>
    <w:p w14:paraId="40E32F24" w14:textId="77777777" w:rsidR="00282567" w:rsidRDefault="00282567" w:rsidP="007E2A09">
      <w:pPr>
        <w:pStyle w:val="KUJKnormal"/>
        <w:rPr>
          <w:rFonts w:eastAsia="Times New Roman"/>
          <w:bCs/>
          <w:szCs w:val="20"/>
        </w:rPr>
      </w:pPr>
      <w:r>
        <w:rPr>
          <w:rFonts w:eastAsia="Times New Roman"/>
          <w:bCs/>
          <w:szCs w:val="20"/>
        </w:rPr>
        <w:t>Finanční nároky a krytí: Proplácení způsobilých výdajů ze strany Ministerstva životního prostředí bude probíhat zálohově bez zatížení rozpočtu kraje, případné nezpůsobilé výdaje budou hrazeny z ORJ 20 – Strukturální fondy EU.</w:t>
      </w:r>
    </w:p>
    <w:p w14:paraId="669446FA" w14:textId="77777777" w:rsidR="00282567" w:rsidRDefault="00282567" w:rsidP="007E2A09">
      <w:pPr>
        <w:pStyle w:val="KUJKnormal"/>
        <w:rPr>
          <w:rFonts w:eastAsia="Times New Roman"/>
          <w:bCs/>
          <w:szCs w:val="20"/>
        </w:rPr>
      </w:pPr>
    </w:p>
    <w:p w14:paraId="6173C8EC" w14:textId="77777777" w:rsidR="00282567" w:rsidRDefault="00282567" w:rsidP="007E2A09">
      <w:pPr>
        <w:pStyle w:val="KUJKnormal"/>
      </w:pPr>
      <w:r>
        <w:t xml:space="preserve">Vyjádření správce rozpočtu: Ing. Nicola Kratochvílová (OEKO):  Souhlasím - z hlediska rozpočtového krytí. Po obdržení Rozhodnutí o poskytnutí dotace bude nutné aktualizovat částku průběžného financování </w:t>
      </w:r>
      <w:r>
        <w:br/>
        <w:t xml:space="preserve">v  příjmech a výdajích rozpočtu ORJ 20 dle schválené alokace ze strany Ministerstva životního prostředí. </w:t>
      </w:r>
    </w:p>
    <w:p w14:paraId="31EFF95A" w14:textId="77777777" w:rsidR="00282567" w:rsidRDefault="00282567" w:rsidP="007E2A09">
      <w:pPr>
        <w:pStyle w:val="KUJKnormal"/>
      </w:pPr>
    </w:p>
    <w:p w14:paraId="5E3DAF96" w14:textId="77777777" w:rsidR="00282567" w:rsidRDefault="00282567" w:rsidP="007E2A09">
      <w:pPr>
        <w:pStyle w:val="KUJKnormal"/>
      </w:pPr>
      <w:r>
        <w:t>Návrh projednán (stanoviska): není relevantní</w:t>
      </w:r>
    </w:p>
    <w:p w14:paraId="7F85E8AD" w14:textId="77777777" w:rsidR="00282567" w:rsidRDefault="00282567" w:rsidP="007E2A09">
      <w:pPr>
        <w:pStyle w:val="KUJKnormal"/>
      </w:pPr>
    </w:p>
    <w:p w14:paraId="4F3C3739" w14:textId="77777777" w:rsidR="00282567" w:rsidRDefault="00282567" w:rsidP="007E2A09">
      <w:pPr>
        <w:pStyle w:val="KUJKtucny"/>
      </w:pPr>
      <w:r>
        <w:t xml:space="preserve">PŘÍLOHY: </w:t>
      </w:r>
    </w:p>
    <w:p w14:paraId="541F61A5" w14:textId="77777777" w:rsidR="00282567" w:rsidRDefault="00282567" w:rsidP="00282567">
      <w:pPr>
        <w:pStyle w:val="KUJKcislovany"/>
        <w:numPr>
          <w:ilvl w:val="0"/>
          <w:numId w:val="12"/>
        </w:numPr>
        <w:tabs>
          <w:tab w:val="left" w:pos="708"/>
        </w:tabs>
        <w:ind w:left="284" w:hanging="284"/>
      </w:pPr>
      <w:r>
        <w:t>Příloha č. 1 (Příloha č. 1 k návrhu č. 149_ZK_23_Formulář evropského projektu.xls)</w:t>
      </w:r>
    </w:p>
    <w:p w14:paraId="52F1CBE9" w14:textId="77777777" w:rsidR="00282567" w:rsidRDefault="00282567" w:rsidP="007E2A09">
      <w:pPr>
        <w:pStyle w:val="KUJKnormal"/>
      </w:pPr>
    </w:p>
    <w:p w14:paraId="212882BD" w14:textId="77777777" w:rsidR="00282567" w:rsidRDefault="00282567" w:rsidP="007E2A09">
      <w:pPr>
        <w:pStyle w:val="KUJKnormal"/>
      </w:pPr>
    </w:p>
    <w:p w14:paraId="2A2C3F03" w14:textId="77777777" w:rsidR="00282567" w:rsidRDefault="00282567" w:rsidP="007E2A09">
      <w:pPr>
        <w:pStyle w:val="KUJKtucny"/>
      </w:pPr>
      <w:r>
        <w:t xml:space="preserve">Zodpovídá: </w:t>
      </w:r>
      <w:r>
        <w:rPr>
          <w:b w:val="0"/>
          <w:bCs/>
        </w:rPr>
        <w:t>vedoucí OEZI – Ing. Jan Návara</w:t>
      </w:r>
    </w:p>
    <w:p w14:paraId="7E7A3253" w14:textId="77777777" w:rsidR="00282567" w:rsidRDefault="00282567" w:rsidP="007E2A09">
      <w:pPr>
        <w:pStyle w:val="KUJKnormal"/>
      </w:pPr>
    </w:p>
    <w:p w14:paraId="30E98AFF" w14:textId="77777777" w:rsidR="00282567" w:rsidRDefault="00282567" w:rsidP="007E2A09">
      <w:pPr>
        <w:pStyle w:val="KUJKnormal"/>
      </w:pPr>
      <w:r>
        <w:t>Termín kontroly: 5. 1. 2032</w:t>
      </w:r>
    </w:p>
    <w:p w14:paraId="0A862165" w14:textId="77777777" w:rsidR="00282567" w:rsidRDefault="00282567" w:rsidP="007E2A09">
      <w:pPr>
        <w:pStyle w:val="KUJKnormal"/>
      </w:pPr>
      <w:r>
        <w:t>Termín splnění: 31. 12. 2031</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967D" w14:textId="77777777" w:rsidR="00282567" w:rsidRDefault="00282567" w:rsidP="00282567">
    <w:r>
      <w:rPr>
        <w:noProof/>
      </w:rPr>
      <w:pict w14:anchorId="39E9B6C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4CF35FF" w14:textId="77777777" w:rsidR="00282567" w:rsidRPr="005F485E" w:rsidRDefault="00282567" w:rsidP="00282567">
                <w:pPr>
                  <w:spacing w:after="60"/>
                  <w:rPr>
                    <w:rFonts w:ascii="Arial" w:hAnsi="Arial" w:cs="Arial"/>
                    <w:b/>
                    <w:sz w:val="22"/>
                  </w:rPr>
                </w:pPr>
                <w:r w:rsidRPr="005F485E">
                  <w:rPr>
                    <w:rFonts w:ascii="Arial" w:hAnsi="Arial" w:cs="Arial"/>
                    <w:b/>
                    <w:sz w:val="22"/>
                  </w:rPr>
                  <w:t>ZASTUPITELSTVO JIHOČESKÉHO KRAJE</w:t>
                </w:r>
              </w:p>
              <w:p w14:paraId="5C5753A6" w14:textId="77777777" w:rsidR="00282567" w:rsidRPr="005F485E" w:rsidRDefault="00282567" w:rsidP="00282567">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6163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ABC38DE" w14:textId="77777777" w:rsidR="00282567" w:rsidRDefault="00282567" w:rsidP="00282567">
    <w:r>
      <w:pict w14:anchorId="2C549B1B">
        <v:rect id="_x0000_i1026" style="width:481.9pt;height:2pt" o:hralign="center" o:hrstd="t" o:hrnoshade="t" o:hr="t" fillcolor="black" stroked="f"/>
      </w:pict>
    </w:r>
  </w:p>
  <w:p w14:paraId="5971CEC5" w14:textId="77777777" w:rsidR="00282567" w:rsidRPr="00282567" w:rsidRDefault="00282567" w:rsidP="002825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26447A"/>
    <w:multiLevelType w:val="hybridMultilevel"/>
    <w:tmpl w:val="6DC45124"/>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8300870">
    <w:abstractNumId w:val="1"/>
  </w:num>
  <w:num w:numId="2" w16cid:durableId="1734043354">
    <w:abstractNumId w:val="2"/>
  </w:num>
  <w:num w:numId="3" w16cid:durableId="1200704201">
    <w:abstractNumId w:val="10"/>
  </w:num>
  <w:num w:numId="4" w16cid:durableId="652610472">
    <w:abstractNumId w:val="7"/>
  </w:num>
  <w:num w:numId="5" w16cid:durableId="8140712">
    <w:abstractNumId w:val="0"/>
  </w:num>
  <w:num w:numId="6" w16cid:durableId="554925042">
    <w:abstractNumId w:val="3"/>
  </w:num>
  <w:num w:numId="7" w16cid:durableId="1813474122">
    <w:abstractNumId w:val="6"/>
  </w:num>
  <w:num w:numId="8" w16cid:durableId="1204369651">
    <w:abstractNumId w:val="4"/>
  </w:num>
  <w:num w:numId="9" w16cid:durableId="222454182">
    <w:abstractNumId w:val="5"/>
  </w:num>
  <w:num w:numId="10" w16cid:durableId="1606187445">
    <w:abstractNumId w:val="8"/>
  </w:num>
  <w:num w:numId="11" w16cid:durableId="1169521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7403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12452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2567"/>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aliases w:val="Nad,Odstavec cíl se seznamem,Odstavec se seznamem5"/>
    <w:basedOn w:val="Normln"/>
    <w:link w:val="OdstavecseseznamemChar"/>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282567"/>
    <w:rPr>
      <w:rFonts w:ascii="Times New Roman" w:hAnsi="Times New Roman"/>
      <w:sz w:val="28"/>
      <w:szCs w:val="22"/>
      <w:lang w:eastAsia="en-US"/>
    </w:rPr>
  </w:style>
  <w:style w:type="character" w:customStyle="1" w:styleId="TextZPChar">
    <w:name w:val="Text ZP Char"/>
    <w:link w:val="TextZP"/>
    <w:locked/>
    <w:rsid w:val="00282567"/>
    <w:rPr>
      <w:rFonts w:ascii="Segoe UI" w:hAnsi="Segoe UI" w:cs="Segoe UI"/>
      <w:color w:val="262626"/>
    </w:rPr>
  </w:style>
  <w:style w:type="paragraph" w:customStyle="1" w:styleId="TextZP">
    <w:name w:val="Text ZP"/>
    <w:basedOn w:val="Normln"/>
    <w:link w:val="TextZPChar"/>
    <w:qFormat/>
    <w:rsid w:val="00282567"/>
    <w:pPr>
      <w:spacing w:after="120" w:line="276" w:lineRule="auto"/>
      <w:jc w:val="both"/>
    </w:pPr>
    <w:rPr>
      <w:rFonts w:ascii="Segoe UI" w:hAnsi="Segoe UI" w:cs="Segoe UI"/>
      <w:color w:val="262626"/>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1264</Words>
  <Characters>7462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2023-05-12T11:13:00Z</dcterms:created>
  <dcterms:modified xsi:type="dcterms:W3CDTF">2023-05-12T11:13:00Z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6211055</vt:i4>
  </property>
  <property fmtid="{D5CDD505-2E9C-101B-9397-08002B2CF9AE}" pid="3" name="ID_Navrh">
    <vt:i4>6271929</vt:i4>
  </property>
  <property fmtid="{D5CDD505-2E9C-101B-9397-08002B2CF9AE}" pid="4" name="UlozitJako">
    <vt:lpwstr>C:\Users\mrazkova\AppData\Local\Temp\iU78808232\Zastupitelstvo\2023-05-11\Navrhy\149-ZK-23.</vt:lpwstr>
  </property>
  <property fmtid="{D5CDD505-2E9C-101B-9397-08002B2CF9AE}" pid="5" name="Zpracovat">
    <vt:bool>false</vt:bool>
  </property>
</Properties>
</file>