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97A7D" w14:paraId="4FCEC6B0" w14:textId="77777777" w:rsidTr="00285147">
        <w:trPr>
          <w:trHeight w:hRule="exact" w:val="397"/>
        </w:trPr>
        <w:tc>
          <w:tcPr>
            <w:tcW w:w="2376" w:type="dxa"/>
            <w:hideMark/>
          </w:tcPr>
          <w:p w14:paraId="58F8D903" w14:textId="77777777" w:rsidR="00A97A7D" w:rsidRDefault="00A97A7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AA285F" w14:textId="77777777" w:rsidR="00A97A7D" w:rsidRDefault="00A97A7D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63DBAE02" w14:textId="77777777" w:rsidR="00A97A7D" w:rsidRDefault="00A97A7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AF7956" w14:textId="77777777" w:rsidR="00A97A7D" w:rsidRDefault="00A97A7D" w:rsidP="00970720">
            <w:pPr>
              <w:pStyle w:val="KUJKnormal"/>
            </w:pPr>
          </w:p>
        </w:tc>
      </w:tr>
      <w:tr w:rsidR="00A97A7D" w14:paraId="0B2D198E" w14:textId="77777777" w:rsidTr="00285147">
        <w:trPr>
          <w:cantSplit/>
          <w:trHeight w:hRule="exact" w:val="397"/>
        </w:trPr>
        <w:tc>
          <w:tcPr>
            <w:tcW w:w="2376" w:type="dxa"/>
            <w:hideMark/>
          </w:tcPr>
          <w:p w14:paraId="4AA91DE3" w14:textId="77777777" w:rsidR="00A97A7D" w:rsidRDefault="00A97A7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EC6009" w14:textId="77777777" w:rsidR="00A97A7D" w:rsidRDefault="00A97A7D" w:rsidP="00970720">
            <w:pPr>
              <w:pStyle w:val="KUJKnormal"/>
            </w:pPr>
            <w:r>
              <w:t>7/ZK/23</w:t>
            </w:r>
          </w:p>
        </w:tc>
      </w:tr>
      <w:tr w:rsidR="00A97A7D" w14:paraId="3B81AFF5" w14:textId="77777777" w:rsidTr="00285147">
        <w:trPr>
          <w:trHeight w:val="397"/>
        </w:trPr>
        <w:tc>
          <w:tcPr>
            <w:tcW w:w="2376" w:type="dxa"/>
          </w:tcPr>
          <w:p w14:paraId="5C3A1FB8" w14:textId="77777777" w:rsidR="00A97A7D" w:rsidRDefault="00A97A7D" w:rsidP="00970720"/>
          <w:p w14:paraId="3CDFCC75" w14:textId="77777777" w:rsidR="00A97A7D" w:rsidRDefault="00A97A7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B36C95" w14:textId="77777777" w:rsidR="00A97A7D" w:rsidRDefault="00A97A7D" w:rsidP="00970720"/>
          <w:p w14:paraId="2E59864B" w14:textId="77777777" w:rsidR="00A97A7D" w:rsidRDefault="00A97A7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79481321" w14:textId="77777777" w:rsidR="00A97A7D" w:rsidRDefault="00A97A7D" w:rsidP="00285147">
      <w:pPr>
        <w:pStyle w:val="KUJKnormal"/>
        <w:rPr>
          <w:b/>
          <w:bCs/>
        </w:rPr>
      </w:pPr>
      <w:r>
        <w:rPr>
          <w:b/>
          <w:bCs/>
        </w:rPr>
        <w:pict w14:anchorId="50C2B725">
          <v:rect id="_x0000_i1029" style="width:453.6pt;height:1.5pt" o:hralign="center" o:hrstd="t" o:hrnoshade="t" o:hr="t" fillcolor="black" stroked="f"/>
        </w:pict>
      </w:r>
    </w:p>
    <w:p w14:paraId="5D12E3FB" w14:textId="77777777" w:rsidR="00A97A7D" w:rsidRDefault="00A97A7D" w:rsidP="00285147">
      <w:pPr>
        <w:pStyle w:val="KUJKnormal"/>
      </w:pPr>
    </w:p>
    <w:p w14:paraId="38C0EBED" w14:textId="77777777" w:rsidR="00A97A7D" w:rsidRDefault="00A97A7D" w:rsidP="0028514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97A7D" w14:paraId="2FC37D44" w14:textId="77777777" w:rsidTr="002559B8">
        <w:trPr>
          <w:trHeight w:val="397"/>
        </w:trPr>
        <w:tc>
          <w:tcPr>
            <w:tcW w:w="2350" w:type="dxa"/>
            <w:hideMark/>
          </w:tcPr>
          <w:p w14:paraId="5C27B179" w14:textId="77777777" w:rsidR="00A97A7D" w:rsidRDefault="00A97A7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D048A5" w14:textId="77777777" w:rsidR="00A97A7D" w:rsidRDefault="00A97A7D" w:rsidP="002559B8">
            <w:pPr>
              <w:pStyle w:val="KUJKnormal"/>
            </w:pPr>
            <w:r>
              <w:t>Mgr. Pavel Klíma</w:t>
            </w:r>
          </w:p>
          <w:p w14:paraId="467FCC0A" w14:textId="77777777" w:rsidR="00A97A7D" w:rsidRDefault="00A97A7D" w:rsidP="002559B8"/>
        </w:tc>
      </w:tr>
      <w:tr w:rsidR="00A97A7D" w14:paraId="382543CE" w14:textId="77777777" w:rsidTr="002559B8">
        <w:trPr>
          <w:trHeight w:val="397"/>
        </w:trPr>
        <w:tc>
          <w:tcPr>
            <w:tcW w:w="2350" w:type="dxa"/>
          </w:tcPr>
          <w:p w14:paraId="79A9672D" w14:textId="77777777" w:rsidR="00A97A7D" w:rsidRDefault="00A97A7D" w:rsidP="002559B8">
            <w:pPr>
              <w:pStyle w:val="KUJKtucny"/>
            </w:pPr>
            <w:r>
              <w:t>Zpracoval:</w:t>
            </w:r>
          </w:p>
          <w:p w14:paraId="72E82281" w14:textId="77777777" w:rsidR="00A97A7D" w:rsidRDefault="00A97A7D" w:rsidP="002559B8"/>
        </w:tc>
        <w:tc>
          <w:tcPr>
            <w:tcW w:w="6862" w:type="dxa"/>
            <w:hideMark/>
          </w:tcPr>
          <w:p w14:paraId="4E80A420" w14:textId="77777777" w:rsidR="00A97A7D" w:rsidRDefault="00A97A7D" w:rsidP="002559B8">
            <w:pPr>
              <w:pStyle w:val="KUJKnormal"/>
            </w:pPr>
            <w:r>
              <w:t>OSMT</w:t>
            </w:r>
          </w:p>
        </w:tc>
      </w:tr>
      <w:tr w:rsidR="00A97A7D" w14:paraId="15EB32C6" w14:textId="77777777" w:rsidTr="002559B8">
        <w:trPr>
          <w:trHeight w:val="397"/>
        </w:trPr>
        <w:tc>
          <w:tcPr>
            <w:tcW w:w="2350" w:type="dxa"/>
          </w:tcPr>
          <w:p w14:paraId="08A70A0F" w14:textId="77777777" w:rsidR="00A97A7D" w:rsidRPr="009715F9" w:rsidRDefault="00A97A7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399B39" w14:textId="77777777" w:rsidR="00A97A7D" w:rsidRDefault="00A97A7D" w:rsidP="002559B8"/>
        </w:tc>
        <w:tc>
          <w:tcPr>
            <w:tcW w:w="6862" w:type="dxa"/>
            <w:hideMark/>
          </w:tcPr>
          <w:p w14:paraId="3C048EE8" w14:textId="77777777" w:rsidR="00A97A7D" w:rsidRDefault="00A97A7D" w:rsidP="002559B8">
            <w:pPr>
              <w:pStyle w:val="KUJKnormal"/>
            </w:pPr>
            <w:r>
              <w:t>Ing. Hana Šímová</w:t>
            </w:r>
          </w:p>
        </w:tc>
      </w:tr>
    </w:tbl>
    <w:p w14:paraId="7B079D42" w14:textId="77777777" w:rsidR="00A97A7D" w:rsidRDefault="00A97A7D" w:rsidP="00285147">
      <w:pPr>
        <w:pStyle w:val="KUJKnormal"/>
      </w:pPr>
    </w:p>
    <w:p w14:paraId="6E28EA2E" w14:textId="77777777" w:rsidR="00A97A7D" w:rsidRPr="0052161F" w:rsidRDefault="00A97A7D" w:rsidP="00285147">
      <w:pPr>
        <w:pStyle w:val="KUJKtucny"/>
      </w:pPr>
      <w:r w:rsidRPr="0052161F">
        <w:t>NÁVRH USNESENÍ</w:t>
      </w:r>
    </w:p>
    <w:p w14:paraId="32ACD4A2" w14:textId="77777777" w:rsidR="00A97A7D" w:rsidRDefault="00A97A7D" w:rsidP="0028514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661050" w14:textId="77777777" w:rsidR="00A97A7D" w:rsidRPr="00841DFC" w:rsidRDefault="00A97A7D" w:rsidP="00285147">
      <w:pPr>
        <w:pStyle w:val="KUJKPolozka"/>
      </w:pPr>
      <w:r w:rsidRPr="00841DFC">
        <w:t>Zastupitelstvo Jihočeského kraje</w:t>
      </w:r>
    </w:p>
    <w:p w14:paraId="058C8F27" w14:textId="77777777" w:rsidR="00A97A7D" w:rsidRPr="00E10FE7" w:rsidRDefault="00A97A7D" w:rsidP="0023704F">
      <w:pPr>
        <w:pStyle w:val="KUJKdoplnek2"/>
        <w:numPr>
          <w:ilvl w:val="0"/>
          <w:numId w:val="0"/>
        </w:numPr>
      </w:pPr>
      <w:r w:rsidRPr="00AF7BAE">
        <w:t>schvaluje</w:t>
      </w:r>
    </w:p>
    <w:p w14:paraId="7C5C8695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1 návrhu č. 7/ZK/23,</w:t>
      </w:r>
    </w:p>
    <w:p w14:paraId="04A403E9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Písek, Švantlova 2394, IČO 60869941, kterým se mění Příloha č. 1 „Vymezení majetku ve vlastnictví zřizovatele, který se příspěvkové organizaci předává k hospodaření dle přílohy č. 2 návrhu č. 7/ZK/23,</w:t>
      </w:r>
    </w:p>
    <w:p w14:paraId="2336A5D6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řemeslné a Základní školy, Soběslav, Wilsonova 405, IČO 72549572, kterým se mění Příloha č. 1 „Vymezení majetku ve vlastnictví zřizovatele, který se příspěvkové organizaci předává k hospodaření“ dle přílohy č. 3 návrhu č. 7/ZK/23,</w:t>
      </w:r>
    </w:p>
    <w:p w14:paraId="0284D252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změnu doplňkové činnosti navazující na hlavní činnost příspěvkové organizace Střední průmyslové školy strojní a stavební, Tábor, Komenského 1670, IČO 60061863, </w:t>
      </w:r>
    </w:p>
    <w:p w14:paraId="3C854385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průmyslové školy strojní a stavební, Tábor, Komenského 1670, IČO 60061863, kterým se ruší platné znění Článku 7 „Doplňková činnost“ a nahrazuje se novým zněním dle přílohy č. 4 návrhu č. 7/ZK/23,</w:t>
      </w:r>
    </w:p>
    <w:p w14:paraId="5F7C13D8" w14:textId="77777777" w:rsidR="00A97A7D" w:rsidRDefault="00A97A7D" w:rsidP="00175D7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5 návrhu č. 7/ZK/23.</w:t>
      </w:r>
    </w:p>
    <w:p w14:paraId="36121DBC" w14:textId="77777777" w:rsidR="00A97A7D" w:rsidRDefault="00A97A7D" w:rsidP="00285147">
      <w:pPr>
        <w:pStyle w:val="KUJKnormal"/>
      </w:pPr>
    </w:p>
    <w:p w14:paraId="700B8E16" w14:textId="77777777" w:rsidR="00A97A7D" w:rsidRDefault="00A97A7D" w:rsidP="00285147">
      <w:pPr>
        <w:pStyle w:val="KUJKnormal"/>
      </w:pPr>
    </w:p>
    <w:p w14:paraId="0656C533" w14:textId="77777777" w:rsidR="00A97A7D" w:rsidRDefault="00A97A7D" w:rsidP="00175D76">
      <w:pPr>
        <w:pStyle w:val="KUJKmezeraDZ"/>
      </w:pPr>
      <w:bookmarkStart w:id="1" w:name="US_DuvodZprava"/>
      <w:bookmarkEnd w:id="1"/>
    </w:p>
    <w:p w14:paraId="49D7FBE2" w14:textId="77777777" w:rsidR="00A97A7D" w:rsidRDefault="00A97A7D" w:rsidP="00175D76">
      <w:pPr>
        <w:pStyle w:val="KUJKnadpisDZ"/>
      </w:pPr>
      <w:r>
        <w:t>DŮVODOVÁ ZPRÁVA</w:t>
      </w:r>
    </w:p>
    <w:p w14:paraId="7DE6FC71" w14:textId="77777777" w:rsidR="00A97A7D" w:rsidRPr="009B7B0B" w:rsidRDefault="00A97A7D" w:rsidP="00175D76">
      <w:pPr>
        <w:pStyle w:val="KUJKmezeraDZ"/>
      </w:pPr>
    </w:p>
    <w:p w14:paraId="216F781C" w14:textId="77777777" w:rsidR="00A97A7D" w:rsidRDefault="00A97A7D" w:rsidP="00285147">
      <w:pPr>
        <w:pStyle w:val="KUJKnormal"/>
      </w:pPr>
    </w:p>
    <w:p w14:paraId="4C5F83CB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074FD060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BF9AD3F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54781078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1D1CA97B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F9E9E03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/>
          <w:sz w:val="20"/>
          <w:szCs w:val="28"/>
        </w:rPr>
        <w:t xml:space="preserve">1. Krajské školní hospodářství, České Budějovice, U Zimního stadionu 1952/2 </w:t>
      </w:r>
      <w:r w:rsidRPr="0023704F">
        <w:rPr>
          <w:rFonts w:ascii="Arial" w:hAnsi="Arial" w:cs="Arial"/>
          <w:bCs/>
          <w:sz w:val="20"/>
          <w:szCs w:val="28"/>
        </w:rPr>
        <w:t>(dále KŠH Č. Budějovice)</w:t>
      </w:r>
    </w:p>
    <w:p w14:paraId="3320BA20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Zastupitelstvo kraje na svém jednání dne 13. října 2022 usnesením číslo 338/2022/ZK-21 schválilo prodej částí pozemků v k.ú. Sedlec u Českých Budějovic, do vlastnictví ČR - Ředitelství silnic a dálnic ČR, Na Pankráci 546/56, Nusle, 140 00 Praha (dále ŘSD). Uvedeným usnesením bylo zároveň schváleno vyjmutí prodávaných pozemků z hospodaření se svěřeným majetkem KŠH Č. Budějovice, ke dni podání návrhu na vklad práva ze smlouvy do katastru nemovitostí.</w:t>
      </w:r>
    </w:p>
    <w:p w14:paraId="099119CC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Jedná se o části pozemků se způsobem využití silnice, které byly dotčeny stavbou „I/20 Sedlec - úprava křižovatky včetně zabezpečení chodců“, tyto pozemky jsou zastavěny stavbou nadchodu pro chodce přes silnici I. třídy č. I/20 a ŘSD je potřebuje k zabezpečení údržby a výkonu svojí činnosti. Prodej částí pozemků v k.ú. Sedlec u Českých Budějovic připravil o</w:t>
      </w:r>
      <w:r w:rsidRPr="0023704F">
        <w:rPr>
          <w:rFonts w:ascii="Arial" w:hAnsi="Arial" w:cs="Arial"/>
          <w:sz w:val="20"/>
          <w:szCs w:val="28"/>
        </w:rPr>
        <w:t>dbor hospodářské a majetkové správy a výše uvedeným usnesením byl schválen.</w:t>
      </w:r>
    </w:p>
    <w:p w14:paraId="1E97551E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podání návrhu na vklad do katastru nemovitostí.</w:t>
      </w:r>
    </w:p>
    <w:p w14:paraId="2EA9279B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2A6138A1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b/>
          <w:bCs/>
          <w:sz w:val="20"/>
          <w:szCs w:val="28"/>
        </w:rPr>
        <w:t xml:space="preserve">2. Dům dětí a mládeže, Písek, Švantlova 2394 </w:t>
      </w:r>
      <w:r w:rsidRPr="0023704F">
        <w:rPr>
          <w:rFonts w:ascii="Arial" w:hAnsi="Arial" w:cs="Arial"/>
          <w:sz w:val="20"/>
          <w:szCs w:val="28"/>
        </w:rPr>
        <w:t>(dále DDM Písek)</w:t>
      </w:r>
    </w:p>
    <w:p w14:paraId="6EC651BA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Zastupitelstvo kraje na svém jednání dne 31. března 2022 usnesením číslo 63/2022/ZK-15 schválilo odstranění staveb - 10 chatek, které jsou součástí pozemku stavební parcely č. 141 a chatky, která je součástí pozemku stavební parcely č. 140 v k.ú.Borečnice, a dalších drobných staveb v areálu letní táborové základny Kobyla ve Vráži u Písku a jejich vyřazení z účetní evidence příspěvkové organizace DDM Písek.</w:t>
      </w:r>
    </w:p>
    <w:p w14:paraId="493A3339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 xml:space="preserve">Chatky byly dřevěné, montované vedené v KN jako stavby pro rodinnou rekreaci, bez napojení na vodu a kanalizaci, pouze s napojením na elektřinu vnitroareálovými rozvody, dále bylo odstraněno staré drátěné oplocení, drobná dřevostavba u vjezdové brány a stávající tělesa venkovního osvětlení. </w:t>
      </w:r>
    </w:p>
    <w:p w14:paraId="58CBE5DA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Městský úřad Písek, odbor výstavby a územního plánování, Velké náměstí 114, Písek, vydal sdělení, kterým potvrdil odstranění objektů v k.ú. Borečnice.</w:t>
      </w:r>
    </w:p>
    <w:p w14:paraId="213DB55D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Staré nevyhovující objekty budou v rámci investiční výstavby „Rekonstrukce letní táborové základny Kobyla ve Vráži u Písku“ nahrazeny novějším vybavením.</w:t>
      </w:r>
    </w:p>
    <w:p w14:paraId="57636A1B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Dodatek nabývá účinnosti dnem zavedení do účetní evidence příspěvkové organizace.</w:t>
      </w:r>
    </w:p>
    <w:p w14:paraId="1BEA65ED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0A54FFF4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b/>
          <w:bCs/>
          <w:sz w:val="20"/>
          <w:szCs w:val="28"/>
        </w:rPr>
        <w:t>3. Střední škola řemeslná a Základní škola, Soběslav, Wilsonova 405</w:t>
      </w:r>
    </w:p>
    <w:p w14:paraId="79EBF8B9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 xml:space="preserve">Zastupitelstvo kraje na svém jednání dne 24. června 2021 usnesením číslo 251/2021/ZK-8 schválilo odstranění stavby průmyslového objektu bez čp/če a dvou staveb nezapsaných v katastru nemovitostí (sklad I a sklad II), umístěných na pozemku v k.ú. Soběslav. </w:t>
      </w:r>
    </w:p>
    <w:p w14:paraId="6CB1BD2D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Objekty určené k demolici byly v havarijním stavu, a na uvolněném prostoru bude v budoucnu vybudováno víceúčelové sportoviště, škola nemá v současné době žádné venkovní sportoviště pro výuku tělesné výchovy.</w:t>
      </w:r>
    </w:p>
    <w:p w14:paraId="79B35DCE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Městský úřad Soběslav, odbor výstavby a regionálního rozvoje, náměstí Republiky 59, Soběslav I, vydal sdělení, kterým potvrdil odstranění objektů v k.ú. Soběslav.</w:t>
      </w:r>
    </w:p>
    <w:p w14:paraId="7122AEC7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mění se druh pozemku. Dodatek nabývá účinnosti dnem zavedení do účetní evidence příspěvkové organizace.</w:t>
      </w:r>
    </w:p>
    <w:p w14:paraId="5A980DBD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1653F8D5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/>
          <w:sz w:val="20"/>
          <w:szCs w:val="28"/>
        </w:rPr>
        <w:t xml:space="preserve">4. a 5. Střední průmyslová škola strojní a stavební, Tábor, Komenského 1670 </w:t>
      </w:r>
      <w:r w:rsidRPr="0023704F">
        <w:rPr>
          <w:rFonts w:ascii="Arial" w:hAnsi="Arial" w:cs="Arial"/>
          <w:bCs/>
          <w:sz w:val="20"/>
          <w:szCs w:val="28"/>
        </w:rPr>
        <w:t>(dále SPŠ SS Tábor)</w:t>
      </w:r>
    </w:p>
    <w:p w14:paraId="2E7DCFCF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 xml:space="preserve">Ředitel školy požádal odbor školství, mládeže a tělovýchovy o projednání změny zřizovací listiny ohledně doplňkové činnosti, která bezprostředně navazuje na hlavní účel a předmět činnosti organizace. Městský úřad Tábor, vydal na žádost ředitele školy výpis ze živnostenského rejstříku, kterým se škole rozšiřuje živnostenské oprávnění o živnost „Provádění staveb, jejich změn a odstraňování“. SPŠ SS Tábor dlouhodobě vyučuje tříletý obor Zedník a učitelé odborného výcviku mohou využít svou odbornost i na reálných zakázkách přímo u zákazníka (investora). Doplňková činnost je provozována mimo pracovní dobu učitelů odborného výcviku a je o ní účtováno odděleně od hlavní činnosti příspěvkové organizace. </w:t>
      </w:r>
    </w:p>
    <w:p w14:paraId="2B99F62B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OŠMT doporučuje vyhovět žádosti ředitele SPŠ SS Tábor, neboť doplňková činnost nebude omezovat ani ohrožovat kvalitu hlavní činnosti a účelně se využije odbornosti zaměstnanců školy.</w:t>
      </w:r>
    </w:p>
    <w:p w14:paraId="4C858B6A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Z 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3A423966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19A0DA5E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b/>
          <w:bCs/>
          <w:sz w:val="20"/>
          <w:szCs w:val="28"/>
        </w:rPr>
        <w:t xml:space="preserve">6. Vyšší odborná škola a Střední zemědělská škola, Tábor, Náměstí T. G. Masaryka 788 </w:t>
      </w:r>
      <w:r w:rsidRPr="0023704F">
        <w:rPr>
          <w:rFonts w:ascii="Arial" w:hAnsi="Arial" w:cs="Arial"/>
          <w:sz w:val="20"/>
          <w:szCs w:val="28"/>
        </w:rPr>
        <w:t>(dále VOŠ a SZeŠ Tábor)</w:t>
      </w:r>
    </w:p>
    <w:p w14:paraId="4AE61998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Zastupitelstvo kraje na svém jednání dne 10. listopadu 2022 usnesením číslo 381/2022/ZK-22 schválilo darování podílu o velikosti 1/14 na pozemku parcela KN č. 1589/2 v k.ú. Měšice u Tábora z vlastnictví Jihočeského kraje městu Tábor, Žižkovo náměstí 2/2, 390 01 Tábor. Uvedeným usnesením bylo zároveň schváleno vyjmutí uvedeného majetku z hospodaření se svěřeným majetkem VOŠ a SZeŠ Tábor, ke dni podání návrhu na vklad vlastnického práva z darovací smlouvy do katastru nemovitostí.</w:t>
      </w:r>
    </w:p>
    <w:p w14:paraId="7870C710" w14:textId="77777777" w:rsidR="00A97A7D" w:rsidRPr="0023704F" w:rsidRDefault="00A97A7D" w:rsidP="0023704F">
      <w:pPr>
        <w:contextualSpacing/>
        <w:jc w:val="both"/>
        <w:rPr>
          <w:rFonts w:ascii="Arial" w:hAnsi="Arial" w:cs="Arial"/>
          <w:sz w:val="20"/>
          <w:szCs w:val="28"/>
        </w:rPr>
      </w:pPr>
      <w:r w:rsidRPr="0023704F">
        <w:rPr>
          <w:rFonts w:ascii="Arial" w:hAnsi="Arial" w:cs="Arial"/>
          <w:sz w:val="20"/>
          <w:szCs w:val="28"/>
        </w:rPr>
        <w:t>Uvedený podíl pozemku s druhem pozemku ostatní komunikace, jejíž byl Jihočeský kraj vlastníkem byl městu Tábor na jeho žádost bezúplatně převeden. Předmětný pozemek tvoří z malé části místní komunikaci a na větší části se nachází veřejná účelová komunikace v majetku města, pro VOŠ a SZeŠ Tábor se jednalo o zbytný majetek a škola ho ke své činnosti nepotřebovala.</w:t>
      </w:r>
    </w:p>
    <w:p w14:paraId="1991B1C4" w14:textId="77777777" w:rsidR="00A97A7D" w:rsidRPr="0023704F" w:rsidRDefault="00A97A7D" w:rsidP="0023704F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 w:rsidRPr="0023704F">
        <w:rPr>
          <w:rFonts w:ascii="Arial" w:hAnsi="Arial" w:cs="Arial"/>
          <w:bCs/>
          <w:sz w:val="20"/>
          <w:szCs w:val="28"/>
        </w:rP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055D76E9" w14:textId="77777777" w:rsidR="00A97A7D" w:rsidRDefault="00A97A7D" w:rsidP="00285147">
      <w:pPr>
        <w:pStyle w:val="KUJKnormal"/>
      </w:pPr>
    </w:p>
    <w:p w14:paraId="6DA77FCA" w14:textId="77777777" w:rsidR="00A97A7D" w:rsidRDefault="00A97A7D" w:rsidP="00285147">
      <w:pPr>
        <w:pStyle w:val="KUJKnormal"/>
      </w:pPr>
    </w:p>
    <w:p w14:paraId="4DDE5C99" w14:textId="77777777" w:rsidR="00A97A7D" w:rsidRDefault="00A97A7D" w:rsidP="00285147">
      <w:pPr>
        <w:pStyle w:val="KUJKnormal"/>
      </w:pPr>
      <w:r>
        <w:t>Finanční nároky a krytí: bez finančních nároků</w:t>
      </w:r>
    </w:p>
    <w:p w14:paraId="669328EE" w14:textId="77777777" w:rsidR="00A97A7D" w:rsidRDefault="00A97A7D" w:rsidP="00285147">
      <w:pPr>
        <w:pStyle w:val="KUJKnormal"/>
      </w:pPr>
    </w:p>
    <w:p w14:paraId="36961A03" w14:textId="77777777" w:rsidR="00A97A7D" w:rsidRDefault="00A97A7D" w:rsidP="00285147">
      <w:pPr>
        <w:pStyle w:val="KUJKnormal"/>
      </w:pPr>
    </w:p>
    <w:p w14:paraId="3770BFFB" w14:textId="77777777" w:rsidR="00A97A7D" w:rsidRDefault="00A97A7D" w:rsidP="00285147">
      <w:pPr>
        <w:pStyle w:val="KUJKnormal"/>
      </w:pPr>
      <w:r>
        <w:t>Vyjádření správce rozpočtu: nepožaduje se</w:t>
      </w:r>
    </w:p>
    <w:p w14:paraId="7B81C052" w14:textId="77777777" w:rsidR="00A97A7D" w:rsidRDefault="00A97A7D" w:rsidP="00285147">
      <w:pPr>
        <w:pStyle w:val="KUJKnormal"/>
      </w:pPr>
    </w:p>
    <w:p w14:paraId="3BBBF636" w14:textId="77777777" w:rsidR="00A97A7D" w:rsidRDefault="00A97A7D" w:rsidP="00285147">
      <w:pPr>
        <w:pStyle w:val="KUJKnormal"/>
      </w:pPr>
    </w:p>
    <w:p w14:paraId="34E1492A" w14:textId="77777777" w:rsidR="00A97A7D" w:rsidRDefault="00A97A7D" w:rsidP="00285147">
      <w:pPr>
        <w:pStyle w:val="KUJKnormal"/>
      </w:pPr>
      <w:r>
        <w:t>Návrh projednán (stanoviska): návrh projednala rada kraje dne 19. ledna 2023 a usnesením doporučila zastupitelstvu kraje ke schválení</w:t>
      </w:r>
    </w:p>
    <w:p w14:paraId="41C0980A" w14:textId="77777777" w:rsidR="00A97A7D" w:rsidRDefault="00A97A7D" w:rsidP="00285147">
      <w:pPr>
        <w:pStyle w:val="KUJKnormal"/>
      </w:pPr>
    </w:p>
    <w:p w14:paraId="149591ED" w14:textId="77777777" w:rsidR="00A97A7D" w:rsidRDefault="00A97A7D" w:rsidP="00285147">
      <w:pPr>
        <w:pStyle w:val="KUJKnormal"/>
      </w:pPr>
    </w:p>
    <w:p w14:paraId="490BDFDA" w14:textId="77777777" w:rsidR="00A97A7D" w:rsidRPr="007939A8" w:rsidRDefault="00A97A7D" w:rsidP="00285147">
      <w:pPr>
        <w:pStyle w:val="KUJKtucny"/>
      </w:pPr>
      <w:r w:rsidRPr="007939A8">
        <w:t>PŘÍLOHY:</w:t>
      </w:r>
    </w:p>
    <w:p w14:paraId="67979538" w14:textId="77777777" w:rsidR="00A97A7D" w:rsidRPr="00B52AA9" w:rsidRDefault="00A97A7D" w:rsidP="0023704F">
      <w:pPr>
        <w:pStyle w:val="KUJKcislovany"/>
      </w:pPr>
      <w:r>
        <w:t>Znění dodatku ZL - KŠH Č. Budějovice</w:t>
      </w:r>
      <w:r w:rsidRPr="0081756D">
        <w:t xml:space="preserve"> (</w:t>
      </w:r>
      <w:r>
        <w:t>ZK_090223_7_Př1 - KŠH Č. Budějovice.docx</w:t>
      </w:r>
      <w:r w:rsidRPr="0081756D">
        <w:t>)</w:t>
      </w:r>
    </w:p>
    <w:p w14:paraId="3D447C2E" w14:textId="77777777" w:rsidR="00A97A7D" w:rsidRPr="00B52AA9" w:rsidRDefault="00A97A7D" w:rsidP="0023704F">
      <w:pPr>
        <w:pStyle w:val="KUJKcislovany"/>
      </w:pPr>
      <w:r>
        <w:t>Znění dodatku ZL - DDM Písek</w:t>
      </w:r>
      <w:r w:rsidRPr="0081756D">
        <w:t xml:space="preserve"> (</w:t>
      </w:r>
      <w:r>
        <w:t>ZK_090223_7_Př2 - DDM Písek.docx</w:t>
      </w:r>
      <w:r w:rsidRPr="0081756D">
        <w:t>)</w:t>
      </w:r>
    </w:p>
    <w:p w14:paraId="075CCDB3" w14:textId="77777777" w:rsidR="00A97A7D" w:rsidRPr="00B52AA9" w:rsidRDefault="00A97A7D" w:rsidP="0023704F">
      <w:pPr>
        <w:pStyle w:val="KUJKcislovany"/>
      </w:pPr>
      <w:r>
        <w:t>Znění dodatku ZL - SŠ řemeslná a ZŠ Soběslav</w:t>
      </w:r>
      <w:r w:rsidRPr="0081756D">
        <w:t xml:space="preserve"> (</w:t>
      </w:r>
      <w:r>
        <w:t>ZK_090223_7_Př3 - SŠ řemeslná a ZŠ Soběslav.docx</w:t>
      </w:r>
      <w:r w:rsidRPr="0081756D">
        <w:t>)</w:t>
      </w:r>
    </w:p>
    <w:p w14:paraId="0E4C0F77" w14:textId="77777777" w:rsidR="00A97A7D" w:rsidRPr="00B52AA9" w:rsidRDefault="00A97A7D" w:rsidP="0023704F">
      <w:pPr>
        <w:pStyle w:val="KUJKcislovany"/>
      </w:pPr>
      <w:r>
        <w:t>Znění dodatku ZL - SPŠ SS Tábor</w:t>
      </w:r>
      <w:r w:rsidRPr="0081756D">
        <w:t xml:space="preserve"> (</w:t>
      </w:r>
      <w:r>
        <w:t>ZK_090223_7_Př4 - SPŠ SS Tábor.docx</w:t>
      </w:r>
      <w:r w:rsidRPr="0081756D">
        <w:t>)</w:t>
      </w:r>
    </w:p>
    <w:p w14:paraId="16FA0DFE" w14:textId="77777777" w:rsidR="00A97A7D" w:rsidRPr="00B52AA9" w:rsidRDefault="00A97A7D" w:rsidP="0023704F">
      <w:pPr>
        <w:pStyle w:val="KUJKcislovany"/>
      </w:pPr>
      <w:r>
        <w:t>Znění dodatku ZL - VOŠ a SZeŠ Tábor</w:t>
      </w:r>
      <w:r w:rsidRPr="0081756D">
        <w:t xml:space="preserve"> (</w:t>
      </w:r>
      <w:r>
        <w:t>ZK_090223_7_Př5 - VOŠ a SZeŠ Tábor.docx</w:t>
      </w:r>
      <w:r w:rsidRPr="0081756D">
        <w:t>)</w:t>
      </w:r>
    </w:p>
    <w:p w14:paraId="11F780E0" w14:textId="77777777" w:rsidR="00A97A7D" w:rsidRDefault="00A97A7D" w:rsidP="00285147">
      <w:pPr>
        <w:pStyle w:val="KUJKnormal"/>
      </w:pPr>
    </w:p>
    <w:p w14:paraId="5F17BC4F" w14:textId="77777777" w:rsidR="00A97A7D" w:rsidRDefault="00A97A7D" w:rsidP="00285147">
      <w:pPr>
        <w:pStyle w:val="KUJKnormal"/>
      </w:pPr>
    </w:p>
    <w:p w14:paraId="2C9FFF9D" w14:textId="77777777" w:rsidR="00A97A7D" w:rsidRPr="00567E2C" w:rsidRDefault="00A97A7D" w:rsidP="0028514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111DE681" w14:textId="77777777" w:rsidR="00A97A7D" w:rsidRDefault="00A97A7D" w:rsidP="00285147">
      <w:pPr>
        <w:pStyle w:val="KUJKnormal"/>
      </w:pPr>
    </w:p>
    <w:p w14:paraId="4320ACBE" w14:textId="77777777" w:rsidR="00A97A7D" w:rsidRDefault="00A97A7D" w:rsidP="00285147">
      <w:pPr>
        <w:pStyle w:val="KUJKnormal"/>
      </w:pPr>
    </w:p>
    <w:p w14:paraId="578FD29C" w14:textId="77777777" w:rsidR="00A97A7D" w:rsidRDefault="00A97A7D" w:rsidP="00285147">
      <w:pPr>
        <w:pStyle w:val="KUJKnormal"/>
      </w:pPr>
      <w:r>
        <w:t>Termín kontroly: 9. 2. 2023</w:t>
      </w:r>
    </w:p>
    <w:p w14:paraId="438F7F7E" w14:textId="77777777" w:rsidR="00A97A7D" w:rsidRDefault="00A97A7D" w:rsidP="0027044E">
      <w:pPr>
        <w:pStyle w:val="KUJKnormal"/>
      </w:pPr>
      <w:r>
        <w:t>Termín splnění: 9. 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A5CB" w14:textId="77777777" w:rsidR="00A97A7D" w:rsidRDefault="00A97A7D" w:rsidP="00A97A7D">
    <w:r>
      <w:rPr>
        <w:noProof/>
      </w:rPr>
      <w:pict w14:anchorId="430E58A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20EC38" w14:textId="77777777" w:rsidR="00A97A7D" w:rsidRPr="005F485E" w:rsidRDefault="00A97A7D" w:rsidP="00A97A7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132126" w14:textId="77777777" w:rsidR="00A97A7D" w:rsidRPr="005F485E" w:rsidRDefault="00A97A7D" w:rsidP="00A97A7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6C2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0729FF" w14:textId="77777777" w:rsidR="00A97A7D" w:rsidRDefault="00A97A7D" w:rsidP="00A97A7D">
    <w:r>
      <w:pict w14:anchorId="09614F03">
        <v:rect id="_x0000_i1026" style="width:481.9pt;height:2pt" o:hralign="center" o:hrstd="t" o:hrnoshade="t" o:hr="t" fillcolor="black" stroked="f"/>
      </w:pict>
    </w:r>
  </w:p>
  <w:p w14:paraId="42CBE2B5" w14:textId="77777777" w:rsidR="00A97A7D" w:rsidRPr="00A97A7D" w:rsidRDefault="00A97A7D" w:rsidP="00A97A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694422981">
    <w:abstractNumId w:val="1"/>
  </w:num>
  <w:num w:numId="2" w16cid:durableId="1476680470">
    <w:abstractNumId w:val="2"/>
  </w:num>
  <w:num w:numId="3" w16cid:durableId="1856994081">
    <w:abstractNumId w:val="9"/>
  </w:num>
  <w:num w:numId="4" w16cid:durableId="1906404094">
    <w:abstractNumId w:val="7"/>
  </w:num>
  <w:num w:numId="5" w16cid:durableId="1193105175">
    <w:abstractNumId w:val="0"/>
  </w:num>
  <w:num w:numId="6" w16cid:durableId="1722243792">
    <w:abstractNumId w:val="3"/>
  </w:num>
  <w:num w:numId="7" w16cid:durableId="1341010970">
    <w:abstractNumId w:val="6"/>
  </w:num>
  <w:num w:numId="8" w16cid:durableId="1694261806">
    <w:abstractNumId w:val="4"/>
  </w:num>
  <w:num w:numId="9" w16cid:durableId="2009167384">
    <w:abstractNumId w:val="5"/>
  </w:num>
  <w:num w:numId="10" w16cid:durableId="840972330">
    <w:abstractNumId w:val="8"/>
  </w:num>
  <w:num w:numId="11" w16cid:durableId="270551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A7D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2023-02-10T11:46:00Z</dcterms:created>
  <dcterms:modified xsi:type="dcterms:W3CDTF">2023-02-10T11:46:00Z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6214066</vt:i4>
  </property>
  <property fmtid="{D5CDD505-2E9C-101B-9397-08002B2CF9AE}" pid="4" name="UlozitJako">
    <vt:lpwstr>C:\Users\mrazkova\AppData\Local\Temp\iU70753112\Zastupitelstvo\2023-02-09\Navrhy\7-ZK-23.</vt:lpwstr>
  </property>
  <property fmtid="{D5CDD505-2E9C-101B-9397-08002B2CF9AE}" pid="5" name="Zpracovat">
    <vt:bool>false</vt:bool>
  </property>
</Properties>
</file>