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3571" w14:paraId="3F055297" w14:textId="77777777" w:rsidTr="003D1E00">
        <w:trPr>
          <w:trHeight w:hRule="exact" w:val="397"/>
        </w:trPr>
        <w:tc>
          <w:tcPr>
            <w:tcW w:w="2376" w:type="dxa"/>
            <w:hideMark/>
          </w:tcPr>
          <w:p w14:paraId="02554F98" w14:textId="77777777" w:rsidR="00C13571" w:rsidRDefault="00C1357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DB19C4" w14:textId="77777777" w:rsidR="00C13571" w:rsidRDefault="00C13571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797839BC" w14:textId="77777777" w:rsidR="00C13571" w:rsidRDefault="00C1357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4BE7B9" w14:textId="77777777" w:rsidR="00C13571" w:rsidRDefault="00C13571" w:rsidP="00970720">
            <w:pPr>
              <w:pStyle w:val="KUJKnormal"/>
            </w:pPr>
          </w:p>
        </w:tc>
      </w:tr>
      <w:tr w:rsidR="00C13571" w14:paraId="56C05C3B" w14:textId="77777777" w:rsidTr="003D1E00">
        <w:trPr>
          <w:cantSplit/>
          <w:trHeight w:hRule="exact" w:val="397"/>
        </w:trPr>
        <w:tc>
          <w:tcPr>
            <w:tcW w:w="2376" w:type="dxa"/>
            <w:hideMark/>
          </w:tcPr>
          <w:p w14:paraId="4A3E2F0A" w14:textId="77777777" w:rsidR="00C13571" w:rsidRDefault="00C1357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9F77B6" w14:textId="77777777" w:rsidR="00C13571" w:rsidRDefault="00C13571" w:rsidP="00970720">
            <w:pPr>
              <w:pStyle w:val="KUJKnormal"/>
            </w:pPr>
            <w:r>
              <w:t>24/ZK/23</w:t>
            </w:r>
          </w:p>
        </w:tc>
      </w:tr>
      <w:tr w:rsidR="00C13571" w14:paraId="468F672D" w14:textId="77777777" w:rsidTr="003D1E00">
        <w:trPr>
          <w:trHeight w:val="397"/>
        </w:trPr>
        <w:tc>
          <w:tcPr>
            <w:tcW w:w="2376" w:type="dxa"/>
          </w:tcPr>
          <w:p w14:paraId="2C9F187B" w14:textId="77777777" w:rsidR="00C13571" w:rsidRDefault="00C13571" w:rsidP="00970720"/>
          <w:p w14:paraId="6E7AE060" w14:textId="77777777" w:rsidR="00C13571" w:rsidRDefault="00C1357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FEBDD4" w14:textId="77777777" w:rsidR="00C13571" w:rsidRDefault="00C13571" w:rsidP="00970720"/>
          <w:p w14:paraId="19C57111" w14:textId="77777777" w:rsidR="00C13571" w:rsidRDefault="00C1357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„Rozvoj soustavy zvláště chráněných území v Jihočeském kraji 2023–2027“ a jeho financování z rozpočtu Jihočeského kraje</w:t>
            </w:r>
          </w:p>
        </w:tc>
      </w:tr>
    </w:tbl>
    <w:p w14:paraId="06760690" w14:textId="77777777" w:rsidR="00C13571" w:rsidRDefault="00C13571" w:rsidP="003D1E00">
      <w:pPr>
        <w:pStyle w:val="KUJKnormal"/>
        <w:rPr>
          <w:b/>
          <w:bCs/>
        </w:rPr>
      </w:pPr>
      <w:r>
        <w:rPr>
          <w:b/>
          <w:bCs/>
        </w:rPr>
        <w:pict w14:anchorId="6FDCBD41">
          <v:rect id="_x0000_i1029" style="width:453.6pt;height:1.5pt" o:hralign="center" o:hrstd="t" o:hrnoshade="t" o:hr="t" fillcolor="black" stroked="f"/>
        </w:pict>
      </w:r>
    </w:p>
    <w:p w14:paraId="78E67449" w14:textId="77777777" w:rsidR="00C13571" w:rsidRDefault="00C13571" w:rsidP="003D1E00">
      <w:pPr>
        <w:pStyle w:val="KUJKnormal"/>
      </w:pPr>
    </w:p>
    <w:p w14:paraId="3C081AA4" w14:textId="77777777" w:rsidR="00C13571" w:rsidRDefault="00C13571" w:rsidP="003D1E0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3571" w14:paraId="411EBF4A" w14:textId="77777777" w:rsidTr="002559B8">
        <w:trPr>
          <w:trHeight w:val="397"/>
        </w:trPr>
        <w:tc>
          <w:tcPr>
            <w:tcW w:w="2350" w:type="dxa"/>
            <w:hideMark/>
          </w:tcPr>
          <w:p w14:paraId="1DF2E4D0" w14:textId="77777777" w:rsidR="00C13571" w:rsidRDefault="00C1357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40D43C" w14:textId="77777777" w:rsidR="00C13571" w:rsidRDefault="00C13571" w:rsidP="002559B8">
            <w:pPr>
              <w:pStyle w:val="KUJKnormal"/>
            </w:pPr>
            <w:r>
              <w:t>Mgr. František Talíř</w:t>
            </w:r>
          </w:p>
          <w:p w14:paraId="741ABF03" w14:textId="77777777" w:rsidR="00C13571" w:rsidRDefault="00C13571" w:rsidP="002559B8"/>
        </w:tc>
      </w:tr>
      <w:tr w:rsidR="00C13571" w14:paraId="36B728A6" w14:textId="77777777" w:rsidTr="002559B8">
        <w:trPr>
          <w:trHeight w:val="397"/>
        </w:trPr>
        <w:tc>
          <w:tcPr>
            <w:tcW w:w="2350" w:type="dxa"/>
          </w:tcPr>
          <w:p w14:paraId="539D549F" w14:textId="77777777" w:rsidR="00C13571" w:rsidRDefault="00C13571" w:rsidP="002559B8">
            <w:pPr>
              <w:pStyle w:val="KUJKtucny"/>
            </w:pPr>
            <w:r>
              <w:t>Zpracoval:</w:t>
            </w:r>
          </w:p>
          <w:p w14:paraId="55C43053" w14:textId="77777777" w:rsidR="00C13571" w:rsidRDefault="00C13571" w:rsidP="002559B8"/>
        </w:tc>
        <w:tc>
          <w:tcPr>
            <w:tcW w:w="6862" w:type="dxa"/>
            <w:hideMark/>
          </w:tcPr>
          <w:p w14:paraId="627ED4D0" w14:textId="77777777" w:rsidR="00C13571" w:rsidRDefault="00C13571" w:rsidP="002559B8">
            <w:pPr>
              <w:pStyle w:val="KUJKnormal"/>
            </w:pPr>
            <w:r>
              <w:t>OZZL</w:t>
            </w:r>
          </w:p>
        </w:tc>
      </w:tr>
      <w:tr w:rsidR="00C13571" w14:paraId="44EA3DA9" w14:textId="77777777" w:rsidTr="002559B8">
        <w:trPr>
          <w:trHeight w:val="397"/>
        </w:trPr>
        <w:tc>
          <w:tcPr>
            <w:tcW w:w="2350" w:type="dxa"/>
          </w:tcPr>
          <w:p w14:paraId="2B9F302A" w14:textId="77777777" w:rsidR="00C13571" w:rsidRPr="009715F9" w:rsidRDefault="00C1357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077628" w14:textId="77777777" w:rsidR="00C13571" w:rsidRDefault="00C13571" w:rsidP="003C35CC">
            <w:pPr>
              <w:pStyle w:val="KUJKmezeraDZ"/>
            </w:pPr>
          </w:p>
        </w:tc>
        <w:tc>
          <w:tcPr>
            <w:tcW w:w="6862" w:type="dxa"/>
            <w:hideMark/>
          </w:tcPr>
          <w:p w14:paraId="5A4C872A" w14:textId="77777777" w:rsidR="00C13571" w:rsidRDefault="00C13571" w:rsidP="002559B8">
            <w:pPr>
              <w:pStyle w:val="KUJKnormal"/>
            </w:pPr>
            <w:r>
              <w:t>Ing. Zdeněk Klimeš</w:t>
            </w:r>
          </w:p>
        </w:tc>
      </w:tr>
    </w:tbl>
    <w:p w14:paraId="694C4958" w14:textId="77777777" w:rsidR="00C13571" w:rsidRDefault="00C13571" w:rsidP="003C35CC">
      <w:pPr>
        <w:pStyle w:val="KUJKmezeraDZ"/>
      </w:pPr>
    </w:p>
    <w:p w14:paraId="2EA6A3B7" w14:textId="77777777" w:rsidR="00C13571" w:rsidRPr="0052161F" w:rsidRDefault="00C13571" w:rsidP="003D1E00">
      <w:pPr>
        <w:pStyle w:val="KUJKtucny"/>
      </w:pPr>
      <w:r w:rsidRPr="0052161F">
        <w:t>NÁVRH USNESENÍ</w:t>
      </w:r>
    </w:p>
    <w:p w14:paraId="49E368CA" w14:textId="77777777" w:rsidR="00C13571" w:rsidRDefault="00C13571" w:rsidP="003D1E0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437E7E6" w14:textId="77777777" w:rsidR="00C13571" w:rsidRPr="00841DFC" w:rsidRDefault="00C13571" w:rsidP="003D1E00">
      <w:pPr>
        <w:pStyle w:val="KUJKPolozka"/>
      </w:pPr>
      <w:r w:rsidRPr="00841DFC">
        <w:t>Zastupitelstvo Jihočeského kraje</w:t>
      </w:r>
    </w:p>
    <w:p w14:paraId="5FC82637" w14:textId="77777777" w:rsidR="00C13571" w:rsidRDefault="00C13571" w:rsidP="002C0342">
      <w:pPr>
        <w:pStyle w:val="KUJKdoplnek2"/>
        <w:ind w:left="357" w:hanging="357"/>
      </w:pPr>
      <w:r w:rsidRPr="00730306">
        <w:t>bere na vědomí</w:t>
      </w:r>
    </w:p>
    <w:p w14:paraId="1C6EE6A5" w14:textId="77777777" w:rsidR="00C13571" w:rsidRPr="002C0342" w:rsidRDefault="00C13571" w:rsidP="002C0342">
      <w:pPr>
        <w:pStyle w:val="KUJKnormal"/>
      </w:pPr>
      <w:r w:rsidRPr="002C0342">
        <w:t>informaci o projektovém záměru pro podání žádosti do Operačního programu Životní prostředí na</w:t>
      </w:r>
      <w:r>
        <w:t> </w:t>
      </w:r>
      <w:r w:rsidRPr="002C0342">
        <w:t>projekt s</w:t>
      </w:r>
      <w:r>
        <w:t> </w:t>
      </w:r>
      <w:r w:rsidRPr="002C0342">
        <w:t>názvem „Rozvoj soustavy zvláště chráněných území v Jihočeském kraji 2023–2027“, a</w:t>
      </w:r>
      <w:r>
        <w:t> </w:t>
      </w:r>
      <w:r w:rsidRPr="002C0342">
        <w:t>to</w:t>
      </w:r>
      <w:r>
        <w:t> </w:t>
      </w:r>
      <w:r w:rsidRPr="002C0342">
        <w:t>v</w:t>
      </w:r>
      <w:r>
        <w:t> </w:t>
      </w:r>
      <w:r w:rsidRPr="002C0342">
        <w:t>rámci výkonu přenesené působnosti dle zákona č.114/1992 Sb., o ochraně přírody a krajiny</w:t>
      </w:r>
      <w:r>
        <w:t>, ve znění pozdějších předpisů;</w:t>
      </w:r>
    </w:p>
    <w:p w14:paraId="65931989" w14:textId="77777777" w:rsidR="00C13571" w:rsidRDefault="00C13571" w:rsidP="002C0342">
      <w:pPr>
        <w:pStyle w:val="KUJKdoplnek2"/>
      </w:pPr>
      <w:r w:rsidRPr="00AF7BAE">
        <w:t>schvaluje</w:t>
      </w:r>
    </w:p>
    <w:p w14:paraId="5747958E" w14:textId="77777777" w:rsidR="00C13571" w:rsidRDefault="00C13571" w:rsidP="002C0342">
      <w:pPr>
        <w:pStyle w:val="KUJKnormal"/>
      </w:pPr>
      <w:r>
        <w:t>1. realizaci projektu Jihočeského kraje „Rozvoj soustavy zvláště chráněných území v Jihočeském kraji 2023–2027“ a podání žádosti o podporu do Operačního programu Životní prostředí, specifický cíl 1.6 Posilování ochrany a zachování přírody, biologické rozmanitosti a zelené infrastruktury, a to i v městských oblastech, a snižování všech forem znečištění, opatření 1.6.1 Podpora přírodních stanovišť a druhů a péče o nejcennější části přírody a krajiny, aktivita 1.6.1.4 Monitoring ekosystémů, stanovišť a druhů, sběr podkladů, zpracování koncepčních dokumentů pro péči o chráněná území, zajištění územní ochrany chráněných území (přírodního dědictví) (dále jen OPŽP) s celkovými výdaji 44 944 470 Kč, z toho s celkovými způsobilými výdaji ve výši 39 872 270 Kč včetně DPH,</w:t>
      </w:r>
    </w:p>
    <w:p w14:paraId="70413AEE" w14:textId="77777777" w:rsidR="00C13571" w:rsidRDefault="00C13571" w:rsidP="002C0342">
      <w:pPr>
        <w:pStyle w:val="KUJKnormal"/>
      </w:pPr>
      <w:r>
        <w:t>2. předfinancování projektu „Rozvoj soustavy zvláště chráněných území v Jihočeském kraji 2023–2027“Jihočeským krajem maximálně do výše 100 % z celkových způsobilých výdajů projektu, tj. 39 872 270 Kč vč. DPH s podmínkou přidělení dotace z OPŽP, s čerpáním na základě formuláře evropského projektu dle přílohy č. 1 návrhu č. 24/ZK/23,</w:t>
      </w:r>
    </w:p>
    <w:p w14:paraId="117EAE35" w14:textId="77777777" w:rsidR="00C13571" w:rsidRPr="002C0342" w:rsidRDefault="00C13571" w:rsidP="002C0342">
      <w:pPr>
        <w:pStyle w:val="KUJKnormal"/>
      </w:pPr>
      <w:r>
        <w:t>3. financování nezpůsobilých výdajů projektu „Rozvoj soustavy zvláště chráněných území v Jihočeském kraji 2023–2027“Jihočeským krajem maximálně do výše 5 072 200 Kč vč. DPH s podmínkou přidělení dotace z OPŽP, s čerpáním na základě formuláře evropského projektu dle přílohy č. 1 návrhu č.24/ZK/23;</w:t>
      </w:r>
    </w:p>
    <w:p w14:paraId="43EDD08A" w14:textId="77777777" w:rsidR="00C13571" w:rsidRDefault="00C13571" w:rsidP="00C546A5">
      <w:pPr>
        <w:pStyle w:val="KUJKdoplnek2"/>
      </w:pPr>
      <w:r w:rsidRPr="0021676C">
        <w:t>ukládá</w:t>
      </w:r>
    </w:p>
    <w:p w14:paraId="15661B32" w14:textId="77777777" w:rsidR="00C13571" w:rsidRPr="002C0342" w:rsidRDefault="00C13571" w:rsidP="002C0342">
      <w:pPr>
        <w:pStyle w:val="KUJKnormal"/>
      </w:pPr>
      <w:r>
        <w:t>JUDr. Lukáši Glaserovi, řediteli krajského úřadu, zabezpečit veškeré úkony potřebné k realizaci části II. usnesení.</w:t>
      </w:r>
    </w:p>
    <w:p w14:paraId="092E1792" w14:textId="77777777" w:rsidR="00C13571" w:rsidRDefault="00C13571" w:rsidP="003C35CC">
      <w:pPr>
        <w:pStyle w:val="KUJKmezeraDZ"/>
      </w:pPr>
    </w:p>
    <w:p w14:paraId="484AFDAD" w14:textId="77777777" w:rsidR="00C13571" w:rsidRDefault="00C13571" w:rsidP="002C0342">
      <w:pPr>
        <w:pStyle w:val="KUJKmezeraDZ"/>
      </w:pPr>
      <w:bookmarkStart w:id="1" w:name="US_DuvodZprava"/>
      <w:bookmarkEnd w:id="1"/>
    </w:p>
    <w:p w14:paraId="7FF2B42E" w14:textId="77777777" w:rsidR="00C13571" w:rsidRDefault="00C13571" w:rsidP="002C0342">
      <w:pPr>
        <w:pStyle w:val="KUJKnadpisDZ"/>
      </w:pPr>
      <w:r>
        <w:t>DŮVODOVÁ ZPRÁVA</w:t>
      </w:r>
    </w:p>
    <w:p w14:paraId="1CF73CDA" w14:textId="77777777" w:rsidR="00C13571" w:rsidRPr="00D2343C" w:rsidRDefault="00C13571" w:rsidP="003C35CC">
      <w:pPr>
        <w:pStyle w:val="KUJKnormal"/>
        <w:spacing w:before="120"/>
        <w:rPr>
          <w:u w:val="single"/>
        </w:rPr>
      </w:pPr>
      <w:r w:rsidRPr="00D2343C">
        <w:rPr>
          <w:u w:val="single"/>
        </w:rPr>
        <w:t>Právní rámec</w:t>
      </w:r>
    </w:p>
    <w:p w14:paraId="53E63FA6" w14:textId="77777777" w:rsidR="00C13571" w:rsidRDefault="00C13571" w:rsidP="00990C04">
      <w:pPr>
        <w:pStyle w:val="KUJKnormal"/>
      </w:pPr>
      <w:r>
        <w:t>Projekt je připravován v souladu s výkonem přenesené působnosti Jihočeského kraje v oblasti zajišťování péče o zvláště chráněná území (dále jen ZCHÚ) a lokality soustavy NATURA 2000, vyplývající z ustanovení § 77a, zákona č. 114/1992 Sb., o ochraně přírody a krajiny, ve znění pozdějších předpisů. Nedílnou a nezbytnou součástí péče o ZCHÚ je monitoring stanovišť a druhů, sběr podkladů, zpracování koncepčních dokumentů pro péči o chráněná území a zajištění územní ochrany v souladu s aktuálním stavem a legislativními předpisy tak, aby došlo při zachování zájmů ochrany přírody k minimálnímu dopadu na vlastníky dotčených nemovitostí. Při administrativní přípravě projektu je postupováno dle vnitřní směrnice Jihočeského kraje pro přípravu a realizaci evropských projektů č. SM/115/ZK v platném znění.</w:t>
      </w:r>
    </w:p>
    <w:p w14:paraId="4324B5F2" w14:textId="77777777" w:rsidR="00C13571" w:rsidRPr="003C35CC" w:rsidRDefault="00C13571" w:rsidP="003C35CC">
      <w:pPr>
        <w:pStyle w:val="KUJKmezeraDZ"/>
      </w:pPr>
    </w:p>
    <w:p w14:paraId="7264DB4E" w14:textId="77777777" w:rsidR="00C13571" w:rsidRPr="003C35CC" w:rsidRDefault="00C13571" w:rsidP="003C35CC">
      <w:pPr>
        <w:pStyle w:val="KUJKnormal"/>
        <w:rPr>
          <w:u w:val="single"/>
        </w:rPr>
      </w:pPr>
      <w:r w:rsidRPr="003C35CC">
        <w:rPr>
          <w:u w:val="single"/>
        </w:rPr>
        <w:t>Východiska a stručný popis projektu</w:t>
      </w:r>
    </w:p>
    <w:p w14:paraId="223E29BC" w14:textId="77777777" w:rsidR="00C13571" w:rsidRDefault="00C13571" w:rsidP="00990C04">
      <w:pPr>
        <w:pStyle w:val="KUJKnormal"/>
      </w:pPr>
      <w:r>
        <w:t>Zpracování odborné dokumentace a vlastní proces přehlašování ZCHÚ mimo soustavu NATURA 2000 byl v minulých letech financován z rozpočtu kraje, v rámci OPŽP bylo financování těchto aktivit vyhrazeno pouze pro resortní organizace MŽP. V aktuálním programovém období je v rámci 30. výzvy OPŽP umožněno čerpání prostředků na zpracování odborné dokumentace i krajům.</w:t>
      </w:r>
    </w:p>
    <w:p w14:paraId="45D3E870" w14:textId="77777777" w:rsidR="00C13571" w:rsidRDefault="00C13571" w:rsidP="00990C04">
      <w:pPr>
        <w:pStyle w:val="KUJKnormal"/>
      </w:pPr>
      <w:r>
        <w:t xml:space="preserve">Projekt navazuje i na probíhající revizi sítě zvláště chráněných území ČR, kterou provádí Agentura ochrany přírody a krajiny ČR (dále jen AOPK). Jihočeský kraj obdržel seznam ZCHÚ, u kterých je z pohledu AOPK nutno řešit nejasnosti ve zřizovacích předpisech, ve vymezení chráněného území, popř. ve stanovení předmětu ochrany. Na základě tohoto seznamu a na základě vlastních dat OZZL bylo v rámci předkládaného projektu vybráno 55 ZCHÚ, u kterých je nutno prioritně zahájit proces přehlašování. Proces přehlášení ZCHÚ se skládá z několika na sebe navazujících kroků: </w:t>
      </w:r>
    </w:p>
    <w:p w14:paraId="6D88F40A" w14:textId="77777777" w:rsidR="00C13571" w:rsidRDefault="00C13571" w:rsidP="00990C04">
      <w:pPr>
        <w:pStyle w:val="KUJKnormal"/>
      </w:pPr>
      <w:r>
        <w:t>a)</w:t>
      </w:r>
      <w:r>
        <w:tab/>
        <w:t xml:space="preserve">zpracování podrobných inventarizačních průzkumů s cílem zhodnotit aktuální stav ZCHÚ </w:t>
      </w:r>
    </w:p>
    <w:p w14:paraId="3A071E4B" w14:textId="77777777" w:rsidR="00C13571" w:rsidRDefault="00C13571" w:rsidP="00990C04">
      <w:pPr>
        <w:pStyle w:val="KUJKnormal"/>
      </w:pPr>
      <w:r>
        <w:t>b)</w:t>
      </w:r>
      <w:r>
        <w:tab/>
        <w:t xml:space="preserve">zpracování plánů péče </w:t>
      </w:r>
    </w:p>
    <w:p w14:paraId="3E21E40F" w14:textId="77777777" w:rsidR="00C13571" w:rsidRDefault="00C13571" w:rsidP="00990C04">
      <w:pPr>
        <w:pStyle w:val="KUJKnormal"/>
      </w:pPr>
      <w:r>
        <w:t>c)</w:t>
      </w:r>
      <w:r>
        <w:tab/>
        <w:t>zpracování návrhů na vyhlášení</w:t>
      </w:r>
    </w:p>
    <w:p w14:paraId="3536F1DC" w14:textId="77777777" w:rsidR="00C13571" w:rsidRDefault="00C13571" w:rsidP="00990C04">
      <w:pPr>
        <w:pStyle w:val="KUJKnormal"/>
      </w:pPr>
      <w:r>
        <w:t>d)</w:t>
      </w:r>
      <w:r>
        <w:tab/>
        <w:t>projednání s vlastníky a dotčenými subjekty</w:t>
      </w:r>
    </w:p>
    <w:p w14:paraId="17E959AB" w14:textId="77777777" w:rsidR="00C13571" w:rsidRDefault="00C13571" w:rsidP="00990C04">
      <w:pPr>
        <w:pStyle w:val="KUJKnormal"/>
      </w:pPr>
      <w:r>
        <w:t>e)</w:t>
      </w:r>
      <w:r>
        <w:tab/>
        <w:t>nové vyhlášení ZCHÚ nařízením kraje</w:t>
      </w:r>
    </w:p>
    <w:p w14:paraId="6E21B94E" w14:textId="77777777" w:rsidR="00C13571" w:rsidRDefault="00C13571" w:rsidP="00990C04">
      <w:pPr>
        <w:pStyle w:val="KUJKnormal"/>
      </w:pPr>
      <w:r>
        <w:t>f)</w:t>
      </w:r>
      <w:r>
        <w:tab/>
        <w:t>geodetické zaměření hranic</w:t>
      </w:r>
    </w:p>
    <w:p w14:paraId="1ECECA6B" w14:textId="77777777" w:rsidR="00C13571" w:rsidRDefault="00C13571" w:rsidP="00990C04">
      <w:pPr>
        <w:pStyle w:val="KUJKnormal"/>
      </w:pPr>
      <w:r>
        <w:t>g)</w:t>
      </w:r>
      <w:r>
        <w:tab/>
        <w:t>označení nových hranic v terénu.</w:t>
      </w:r>
    </w:p>
    <w:p w14:paraId="7E381FB1" w14:textId="77777777" w:rsidR="00C13571" w:rsidRDefault="00C13571" w:rsidP="00990C04">
      <w:pPr>
        <w:pStyle w:val="KUJKnormal"/>
      </w:pPr>
      <w:r>
        <w:t>Projekt řeší první dvě fáze tohoto procesu, a to zpracování inventarizačních průzkumů a na ně navazujících plánů péče. Součástí projektu je i povinná publicita a propagace, realizace, řízení a kontrola vykonávaných prací a nákup hmotného majetku.</w:t>
      </w:r>
    </w:p>
    <w:p w14:paraId="4A24CBAD" w14:textId="77777777" w:rsidR="00C13571" w:rsidRPr="003C35CC" w:rsidRDefault="00C13571" w:rsidP="003C35CC">
      <w:pPr>
        <w:pStyle w:val="KUJKmezeraDZ"/>
      </w:pPr>
    </w:p>
    <w:p w14:paraId="00A687CA" w14:textId="77777777" w:rsidR="00C13571" w:rsidRPr="003C35CC" w:rsidRDefault="00C13571" w:rsidP="003C35CC">
      <w:pPr>
        <w:pStyle w:val="KUJKnormal"/>
        <w:rPr>
          <w:u w:val="single"/>
        </w:rPr>
      </w:pPr>
      <w:r w:rsidRPr="003C35CC">
        <w:rPr>
          <w:u w:val="single"/>
        </w:rPr>
        <w:t>Cílový stav</w:t>
      </w:r>
    </w:p>
    <w:p w14:paraId="0FB3FEFE" w14:textId="77777777" w:rsidR="00C13571" w:rsidRDefault="00C13571" w:rsidP="00990C04">
      <w:pPr>
        <w:pStyle w:val="KUJKnormal"/>
      </w:pPr>
      <w:r>
        <w:t>Cílem projektu je zpracování celkem 266 inventarizačních průzkumů na celkové ploše 16 158 ha pro 16 skupin předmětů ochrany a 55 plánů péče. Rozsah inventarizačních průzkumů a výběr lokalit byl projednán s AOPK, jejich případné připomínky byly zapracovány a následně odsouhlaseny. V rámci projektu proběhne rovněž projednání a schválení plánů péče a přehlášení řešených ZCHÚ, a to formou nařízení Rady Jihočeského kraje.</w:t>
      </w:r>
    </w:p>
    <w:p w14:paraId="074A0901" w14:textId="77777777" w:rsidR="00C13571" w:rsidRPr="003C35CC" w:rsidRDefault="00C13571" w:rsidP="003C35CC">
      <w:pPr>
        <w:pStyle w:val="KUJKmezeraDZ"/>
      </w:pPr>
    </w:p>
    <w:p w14:paraId="3E482938" w14:textId="77777777" w:rsidR="00C13571" w:rsidRPr="00D2343C" w:rsidRDefault="00C13571" w:rsidP="00990C04">
      <w:pPr>
        <w:pStyle w:val="KUJKnormal"/>
        <w:rPr>
          <w:u w:val="single"/>
        </w:rPr>
      </w:pPr>
      <w:r w:rsidRPr="00D2343C">
        <w:rPr>
          <w:u w:val="single"/>
        </w:rPr>
        <w:t>Očekávaná rizika a další souvislosti</w:t>
      </w:r>
    </w:p>
    <w:p w14:paraId="71620DDD" w14:textId="77777777" w:rsidR="00C13571" w:rsidRDefault="00C13571" w:rsidP="00990C04">
      <w:pPr>
        <w:pStyle w:val="KUJKnormal"/>
      </w:pPr>
      <w:r>
        <w:t xml:space="preserve">Projekt je nastaven tak, že předmětem způsobilých výdajů jsou služby nasmlouvané v rámci procesu zadání veřejné zakázky. Vzhledem k aktuální situaci na trhu v oblasti ochrany přírody je největším rizikem zajistit takového zhotovitele díla, který zaručí kvalitu díla a termínovou spolehlivost. Proto v rámci 5 % paušálu, který je nyní nově zaveden v dotačních podmínkách, bude zadán veřejnou zakázkou rovněž technický dozor investora (dále jen TDI), který se v minulém projektu OPŽP 4.1. procesně velice osvědčil. Riziko je možné na základě zkušenosti z realizace předchozích obdobných projektů (Implementace soustavy NATURA 2000 v Jihočeském kraji I. a II. etapa) částečně eliminovat vhodně nastavenými kvalifikačními požadavky výběrového řízení, ale hlavně důslednou a průběžnou kontrolou vykonávaných prací, která bude zajištěna zaměstnancem projektu a již zmíněným TDI. Dalšími rizikem je samozřejmě nestabilní trh a inflace v průběhu trvání projektu. </w:t>
      </w:r>
    </w:p>
    <w:p w14:paraId="59BAC893" w14:textId="77777777" w:rsidR="00C13571" w:rsidRDefault="00C13571" w:rsidP="00990C04">
      <w:pPr>
        <w:pStyle w:val="KUJKnormal"/>
      </w:pPr>
      <w:r>
        <w:t>Projektový záměr byl původně připraven ve výrazně větším rozsahu (cca 150 mil. Kč) a řešil všechna území, která je zapotřebí vyřešit. Celková alokace OPŽP pro tento cíl, kde jsou oprávněnými příjemci kraje, je 40 mil. Kč. Proto proběhlo jednání na SFŽP o možnosti navýšení alokace, ale to v této chvíli není možné v rámci kompetencí SFŽP. O změně může být jednáno teprve v případě významného zájmu krajů o poskytnutí dotace. Projektový záměr byl proto upraven na rozpočet odpovídající celkové alokaci, která je k dispozici. Dle informací zatím žádný jiný kraj projekt nepřipravuje. Rozdělení způsobilých a nezpůsobilých výdajů bylo navrženo s ohledem na projednání se SFŽP, kdy by zařazení uvedených nezpůsobilých výdajů do způsobilých bylo možné, ale o to by se zkracovala dotace na vlastní projekt, takže by vznikal požadavek na kofinancování projektu. To ovšem pro rozpočet kraje je v zásadě stejný náklad, jen jinak účtovaný, který navíc může být předmětem složitostí při administraci a kontrole projektu. Proto doporučení SFŽP je použít model, který je navržen výše. Pracovní místo, které je navrženo na realizaci projektu, navazuje časově i personálně na projekt OPŽP „Implementace soustavy N2000 v Jihočeském kraji II. etapa“, který bude finančně ukončen k 31. 12. 2023, administrativně k 30. 6. 2024. Zahájení předmětného projektu s finančním plněním od 1. 1. 2024 proto plynule navazuje. Co se týče investičních výdajů, týkají se terénního automobilu včetně příslušenství, který bude využit pro realizaci projektu. Stávající terénní automobil z předchozího projektu po jeho ukončení bude převeden k užívání odboru v rámci činnosti krajského úřadu. Náklady spojené s přehlašováním ZCHÚ by v případě, že by o projekt nebylo požádáno, byly přímým výdajem rozpočtu JčK na ORJ 7. Získáním podpory OPŽP se tak urychlí proces přehlašování ZCHÚ a ušetří náklady JčK, které by musely být postupně vynakládány na stejný účel.</w:t>
      </w:r>
    </w:p>
    <w:p w14:paraId="6DADA1D1" w14:textId="77777777" w:rsidR="00C13571" w:rsidRPr="003C35CC" w:rsidRDefault="00C13571" w:rsidP="003D1E00">
      <w:pPr>
        <w:pStyle w:val="KUJKnormal"/>
        <w:rPr>
          <w:u w:val="single"/>
        </w:rPr>
      </w:pPr>
      <w:r>
        <w:rPr>
          <w:u w:val="single"/>
        </w:rPr>
        <w:br w:type="page"/>
      </w:r>
      <w:r w:rsidRPr="003C35CC">
        <w:rPr>
          <w:u w:val="single"/>
        </w:rPr>
        <w:t>Finanční nároky a krytí</w:t>
      </w:r>
    </w:p>
    <w:p w14:paraId="3925B6C7" w14:textId="77777777" w:rsidR="00C13571" w:rsidRDefault="00C13571" w:rsidP="00990C04">
      <w:pPr>
        <w:pStyle w:val="KUJKnormal"/>
        <w:spacing w:before="60"/>
      </w:pPr>
      <w:r>
        <w:t>Náklady na realizaci projektu jsou navrženy jako maximální, vypočtené dle standardů tzv. nákladů obvyklých opatření (normovaný resortní ceník), které jsou nastaveny a aktualizovány v rámci podmínek OPŽP. Po podání a schválení žádosti do OPŽP a následných výběrových řízeních, dojde k finálnímu stanovení výdajů projektu. Vzhledem k potřebě financování až od roku 2024 není nutné měnit krytí z rozpočtu 2023, a to ani s odhadovanými a alokovanými prostředky na ORJ 20 pro rok 2023. Do rozpočtu 2024 bude již navržena konkrétní výše a harmonogram čerpání. Financování bude zajištěno z prostředků SF EU – ORJ 2068.</w:t>
      </w:r>
    </w:p>
    <w:p w14:paraId="76E1C0D6" w14:textId="77777777" w:rsidR="00C13571" w:rsidRDefault="00C13571" w:rsidP="003C35CC">
      <w:pPr>
        <w:pStyle w:val="KUJKmezeraDZ"/>
      </w:pPr>
    </w:p>
    <w:p w14:paraId="4DAFDC0F" w14:textId="77777777" w:rsidR="00C13571" w:rsidRPr="003C35CC" w:rsidRDefault="00C13571" w:rsidP="003D1E00">
      <w:pPr>
        <w:pStyle w:val="KUJKnormal"/>
        <w:rPr>
          <w:u w:val="single"/>
        </w:rPr>
      </w:pPr>
      <w:r w:rsidRPr="003C35CC">
        <w:rPr>
          <w:u w:val="single"/>
        </w:rPr>
        <w:t>Vyjádření správce rozpočtu</w:t>
      </w:r>
    </w:p>
    <w:p w14:paraId="6E9A1146" w14:textId="77777777" w:rsidR="00C13571" w:rsidRDefault="00C13571" w:rsidP="00637E99">
      <w:pPr>
        <w:pStyle w:val="KUJKnormal"/>
      </w:pPr>
      <w:r>
        <w:t xml:space="preserve">Ing. Michaela Zárubová (OEKO): Souhlasím z hlediska rozpočtového krytí. Požadované finanční prostředky jsou součástí schváleného SVR 2024-25 na ORJ 20, v roce 2024 je alokováno 157 mil. Kč na tento projekt. </w:t>
      </w:r>
    </w:p>
    <w:p w14:paraId="2795A4DD" w14:textId="77777777" w:rsidR="00C13571" w:rsidRDefault="00C13571" w:rsidP="003C35CC">
      <w:pPr>
        <w:pStyle w:val="KUJKmezeraDZ"/>
      </w:pPr>
    </w:p>
    <w:p w14:paraId="32E284A2" w14:textId="77777777" w:rsidR="00C13571" w:rsidRPr="003C35CC" w:rsidRDefault="00C13571" w:rsidP="003D1E00">
      <w:pPr>
        <w:pStyle w:val="KUJKnormal"/>
        <w:rPr>
          <w:u w:val="single"/>
        </w:rPr>
      </w:pPr>
      <w:r w:rsidRPr="003C35CC">
        <w:rPr>
          <w:u w:val="single"/>
        </w:rPr>
        <w:t>Návrh projednán (stanoviska)</w:t>
      </w:r>
    </w:p>
    <w:p w14:paraId="3707063B" w14:textId="77777777" w:rsidR="00C13571" w:rsidRDefault="00C13571" w:rsidP="00620CB3">
      <w:pPr>
        <w:pStyle w:val="KUJKnormal"/>
      </w:pPr>
      <w:r>
        <w:t>Návrh bude projednán ve Výboru pro zemědělství a životní prostředí před ZK dne 9. 2. 2023, tedy dne 6. 2. 2023.</w:t>
      </w:r>
    </w:p>
    <w:p w14:paraId="2386D4EF" w14:textId="77777777" w:rsidR="00C13571" w:rsidRDefault="00C13571" w:rsidP="003C35CC">
      <w:pPr>
        <w:pStyle w:val="KUJKmezeraDZ"/>
      </w:pPr>
    </w:p>
    <w:p w14:paraId="06A3A3F4" w14:textId="77777777" w:rsidR="00C13571" w:rsidRDefault="00C13571" w:rsidP="003C35CC">
      <w:pPr>
        <w:pStyle w:val="KUJKmezeraDZ"/>
      </w:pPr>
    </w:p>
    <w:p w14:paraId="4ED573EC" w14:textId="77777777" w:rsidR="00C13571" w:rsidRDefault="00C13571" w:rsidP="003D1E00">
      <w:pPr>
        <w:pStyle w:val="KUJKtucny"/>
      </w:pPr>
      <w:r w:rsidRPr="007939A8">
        <w:t>PŘÍLOHY:</w:t>
      </w:r>
    </w:p>
    <w:p w14:paraId="6DCD0BFC" w14:textId="77777777" w:rsidR="00C13571" w:rsidRPr="00B52AA9" w:rsidRDefault="00C13571" w:rsidP="00FE1B1C">
      <w:pPr>
        <w:pStyle w:val="KUJKcislovany"/>
      </w:pPr>
      <w:r>
        <w:t>Formulář evropského projektu</w:t>
      </w:r>
      <w:r w:rsidRPr="0081756D">
        <w:t xml:space="preserve"> </w:t>
      </w:r>
    </w:p>
    <w:p w14:paraId="6E51A7EC" w14:textId="77777777" w:rsidR="00C13571" w:rsidRPr="00FE1B1C" w:rsidRDefault="00C13571" w:rsidP="003C35CC">
      <w:pPr>
        <w:pStyle w:val="KUJKmezeraDZ"/>
      </w:pPr>
    </w:p>
    <w:p w14:paraId="4DA3FFCC" w14:textId="77777777" w:rsidR="00C13571" w:rsidRPr="007C1EE7" w:rsidRDefault="00C13571" w:rsidP="003D1E00">
      <w:pPr>
        <w:pStyle w:val="KUJKtucny"/>
      </w:pPr>
      <w:r w:rsidRPr="007C1EE7">
        <w:t>Zodpovídá:</w:t>
      </w:r>
      <w:r>
        <w:t xml:space="preserve"> </w:t>
      </w:r>
      <w:r w:rsidRPr="00990C04">
        <w:rPr>
          <w:b w:val="0"/>
        </w:rPr>
        <w:t xml:space="preserve">vedoucí OZZL </w:t>
      </w:r>
      <w:r w:rsidRPr="00990C04">
        <w:rPr>
          <w:rFonts w:hint="eastAsia"/>
          <w:b w:val="0"/>
        </w:rPr>
        <w:t>–</w:t>
      </w:r>
      <w:r w:rsidRPr="00990C04">
        <w:rPr>
          <w:rFonts w:hint="eastAsia"/>
          <w:b w:val="0"/>
        </w:rPr>
        <w:t xml:space="preserve"> </w:t>
      </w:r>
      <w:r w:rsidRPr="00990C04">
        <w:rPr>
          <w:b w:val="0"/>
        </w:rPr>
        <w:t>Ing. Zdeněk Klimeš</w:t>
      </w:r>
    </w:p>
    <w:p w14:paraId="279900B7" w14:textId="77777777" w:rsidR="00C13571" w:rsidRDefault="00C13571" w:rsidP="003C35CC">
      <w:pPr>
        <w:pStyle w:val="KUJKmezeraDZ"/>
      </w:pPr>
    </w:p>
    <w:p w14:paraId="33BD2A86" w14:textId="77777777" w:rsidR="00C13571" w:rsidRPr="008B3FC2" w:rsidRDefault="00C13571" w:rsidP="003D1E00">
      <w:pPr>
        <w:pStyle w:val="KUJKnormal"/>
      </w:pPr>
      <w:r w:rsidRPr="008B3FC2">
        <w:t>Termín kontroly: 30. 6. 2023</w:t>
      </w:r>
    </w:p>
    <w:p w14:paraId="7B151970" w14:textId="77777777" w:rsidR="00C13571" w:rsidRDefault="00C13571" w:rsidP="003D1E00">
      <w:pPr>
        <w:pStyle w:val="KUJKnormal"/>
      </w:pPr>
      <w:r w:rsidRPr="008B3FC2">
        <w:t>Termín splnění: 31. 5.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7F8B" w14:textId="77777777" w:rsidR="00C13571" w:rsidRDefault="00C13571" w:rsidP="00C13571">
    <w:r>
      <w:rPr>
        <w:noProof/>
      </w:rPr>
      <w:pict w14:anchorId="2AB665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FED9009" w14:textId="77777777" w:rsidR="00C13571" w:rsidRPr="005F485E" w:rsidRDefault="00C13571" w:rsidP="00C1357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7BBB47C" w14:textId="77777777" w:rsidR="00C13571" w:rsidRPr="005F485E" w:rsidRDefault="00C13571" w:rsidP="00C1357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721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557F48D" w14:textId="77777777" w:rsidR="00C13571" w:rsidRDefault="00C13571" w:rsidP="00C13571">
    <w:r>
      <w:pict w14:anchorId="5E1C54C9">
        <v:rect id="_x0000_i1026" style="width:481.9pt;height:2pt" o:hralign="center" o:hrstd="t" o:hrnoshade="t" o:hr="t" fillcolor="black" stroked="f"/>
      </w:pict>
    </w:r>
  </w:p>
  <w:p w14:paraId="26D5CC57" w14:textId="77777777" w:rsidR="00C13571" w:rsidRPr="00C13571" w:rsidRDefault="00C13571" w:rsidP="00C135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124944">
    <w:abstractNumId w:val="1"/>
  </w:num>
  <w:num w:numId="2" w16cid:durableId="535195013">
    <w:abstractNumId w:val="2"/>
  </w:num>
  <w:num w:numId="3" w16cid:durableId="1004472695">
    <w:abstractNumId w:val="9"/>
  </w:num>
  <w:num w:numId="4" w16cid:durableId="624775851">
    <w:abstractNumId w:val="7"/>
  </w:num>
  <w:num w:numId="5" w16cid:durableId="1679037473">
    <w:abstractNumId w:val="0"/>
  </w:num>
  <w:num w:numId="6" w16cid:durableId="742335428">
    <w:abstractNumId w:val="3"/>
  </w:num>
  <w:num w:numId="7" w16cid:durableId="548031962">
    <w:abstractNumId w:val="6"/>
  </w:num>
  <w:num w:numId="8" w16cid:durableId="1255626824">
    <w:abstractNumId w:val="4"/>
  </w:num>
  <w:num w:numId="9" w16cid:durableId="286473619">
    <w:abstractNumId w:val="5"/>
  </w:num>
  <w:num w:numId="10" w16cid:durableId="1801533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3571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2023-02-10T11:46:00Z</dcterms:created>
  <dcterms:modified xsi:type="dcterms:W3CDTF">2023-02-10T11:46:00Z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6219340</vt:i4>
  </property>
  <property fmtid="{D5CDD505-2E9C-101B-9397-08002B2CF9AE}" pid="4" name="UlozitJako">
    <vt:lpwstr>C:\Users\mrazkova\AppData\Local\Temp\iU70753112\Zastupitelstvo\2023-02-09\Navrhy\24-ZK-23.</vt:lpwstr>
  </property>
  <property fmtid="{D5CDD505-2E9C-101B-9397-08002B2CF9AE}" pid="5" name="Zpracovat">
    <vt:bool>false</vt:bool>
  </property>
</Properties>
</file>