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054DE" w14:paraId="56E837CF" w14:textId="77777777" w:rsidTr="00C06BFA">
        <w:trPr>
          <w:trHeight w:hRule="exact" w:val="397"/>
        </w:trPr>
        <w:tc>
          <w:tcPr>
            <w:tcW w:w="2376" w:type="dxa"/>
            <w:hideMark/>
          </w:tcPr>
          <w:p w14:paraId="33169B3E" w14:textId="77777777" w:rsidR="00D054DE" w:rsidRDefault="00D054D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54E62E2" w14:textId="77777777" w:rsidR="00D054DE" w:rsidRDefault="00D054DE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2B3424E9" w14:textId="77777777" w:rsidR="00D054DE" w:rsidRDefault="00D054D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A78C9F3" w14:textId="77777777" w:rsidR="00D054DE" w:rsidRDefault="00D054DE" w:rsidP="00970720">
            <w:pPr>
              <w:pStyle w:val="KUJKnormal"/>
            </w:pPr>
          </w:p>
        </w:tc>
      </w:tr>
      <w:tr w:rsidR="00D054DE" w14:paraId="33B3BA59" w14:textId="77777777" w:rsidTr="00C06BFA">
        <w:trPr>
          <w:cantSplit/>
          <w:trHeight w:hRule="exact" w:val="397"/>
        </w:trPr>
        <w:tc>
          <w:tcPr>
            <w:tcW w:w="2376" w:type="dxa"/>
            <w:hideMark/>
          </w:tcPr>
          <w:p w14:paraId="25B1D372" w14:textId="77777777" w:rsidR="00D054DE" w:rsidRDefault="00D054D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098EB0" w14:textId="77777777" w:rsidR="00D054DE" w:rsidRDefault="00D054DE" w:rsidP="00970720">
            <w:pPr>
              <w:pStyle w:val="KUJKnormal"/>
            </w:pPr>
            <w:r>
              <w:t>417/ZK/22</w:t>
            </w:r>
          </w:p>
        </w:tc>
      </w:tr>
      <w:tr w:rsidR="00D054DE" w14:paraId="256CB4FF" w14:textId="77777777" w:rsidTr="00C06BFA">
        <w:trPr>
          <w:trHeight w:val="397"/>
        </w:trPr>
        <w:tc>
          <w:tcPr>
            <w:tcW w:w="2376" w:type="dxa"/>
          </w:tcPr>
          <w:p w14:paraId="1100BBF5" w14:textId="77777777" w:rsidR="00D054DE" w:rsidRDefault="00D054DE" w:rsidP="00970720"/>
          <w:p w14:paraId="64374E63" w14:textId="77777777" w:rsidR="00D054DE" w:rsidRDefault="00D054D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8C7287F" w14:textId="77777777" w:rsidR="00D054DE" w:rsidRDefault="00D054DE" w:rsidP="00970720"/>
          <w:p w14:paraId="4B6965A1" w14:textId="77777777" w:rsidR="00D054DE" w:rsidRDefault="00D054D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projektu „Common Regional Development AT-CZ“  </w:t>
            </w:r>
            <w:r>
              <w:rPr>
                <w:sz w:val="22"/>
                <w:szCs w:val="22"/>
              </w:rPr>
              <w:br/>
              <w:t xml:space="preserve">a kofinancování a předfinancování jeho způsobilých výdajů  </w:t>
            </w:r>
            <w:r>
              <w:rPr>
                <w:sz w:val="22"/>
                <w:szCs w:val="22"/>
              </w:rPr>
              <w:br/>
              <w:t>a financování nezpůsobilých výdajů z rozpočtu kraje</w:t>
            </w:r>
          </w:p>
        </w:tc>
      </w:tr>
    </w:tbl>
    <w:p w14:paraId="56685681" w14:textId="77777777" w:rsidR="00D054DE" w:rsidRDefault="00D054DE" w:rsidP="00C06BFA">
      <w:pPr>
        <w:pStyle w:val="KUJKnormal"/>
        <w:rPr>
          <w:b/>
          <w:bCs/>
        </w:rPr>
      </w:pPr>
      <w:r>
        <w:rPr>
          <w:b/>
          <w:bCs/>
        </w:rPr>
        <w:pict w14:anchorId="0EA38AF5">
          <v:rect id="_x0000_i1029" style="width:453.6pt;height:1.5pt" o:hralign="center" o:hrstd="t" o:hrnoshade="t" o:hr="t" fillcolor="black" stroked="f"/>
        </w:pict>
      </w:r>
    </w:p>
    <w:p w14:paraId="7BCB71B8" w14:textId="77777777" w:rsidR="00D054DE" w:rsidRDefault="00D054DE" w:rsidP="00C06BFA">
      <w:pPr>
        <w:pStyle w:val="KUJKnormal"/>
      </w:pPr>
    </w:p>
    <w:p w14:paraId="46D69E66" w14:textId="77777777" w:rsidR="00D054DE" w:rsidRDefault="00D054DE" w:rsidP="00C06BF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054DE" w14:paraId="68EB9A94" w14:textId="77777777" w:rsidTr="002559B8">
        <w:trPr>
          <w:trHeight w:val="397"/>
        </w:trPr>
        <w:tc>
          <w:tcPr>
            <w:tcW w:w="2350" w:type="dxa"/>
            <w:hideMark/>
          </w:tcPr>
          <w:p w14:paraId="328780F4" w14:textId="77777777" w:rsidR="00D054DE" w:rsidRDefault="00D054D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6AD893" w14:textId="77777777" w:rsidR="00D054DE" w:rsidRDefault="00D054DE" w:rsidP="002559B8">
            <w:pPr>
              <w:pStyle w:val="KUJKnormal"/>
            </w:pPr>
            <w:r>
              <w:t>Pavel Hroch</w:t>
            </w:r>
          </w:p>
          <w:p w14:paraId="05034145" w14:textId="77777777" w:rsidR="00D054DE" w:rsidRDefault="00D054DE" w:rsidP="002559B8"/>
        </w:tc>
      </w:tr>
      <w:tr w:rsidR="00D054DE" w14:paraId="5D4F7957" w14:textId="77777777" w:rsidTr="002559B8">
        <w:trPr>
          <w:trHeight w:val="397"/>
        </w:trPr>
        <w:tc>
          <w:tcPr>
            <w:tcW w:w="2350" w:type="dxa"/>
          </w:tcPr>
          <w:p w14:paraId="3196078B" w14:textId="77777777" w:rsidR="00D054DE" w:rsidRDefault="00D054DE" w:rsidP="002559B8">
            <w:pPr>
              <w:pStyle w:val="KUJKtucny"/>
            </w:pPr>
            <w:r>
              <w:t>Zpracoval:</w:t>
            </w:r>
          </w:p>
          <w:p w14:paraId="63AC28ED" w14:textId="77777777" w:rsidR="00D054DE" w:rsidRDefault="00D054DE" w:rsidP="002559B8"/>
        </w:tc>
        <w:tc>
          <w:tcPr>
            <w:tcW w:w="6862" w:type="dxa"/>
            <w:hideMark/>
          </w:tcPr>
          <w:p w14:paraId="5EAAE63C" w14:textId="77777777" w:rsidR="00D054DE" w:rsidRDefault="00D054DE" w:rsidP="002559B8">
            <w:pPr>
              <w:pStyle w:val="KUJKnormal"/>
            </w:pPr>
            <w:r>
              <w:t>OEZI</w:t>
            </w:r>
          </w:p>
        </w:tc>
      </w:tr>
      <w:tr w:rsidR="00D054DE" w14:paraId="5D281FD1" w14:textId="77777777" w:rsidTr="002559B8">
        <w:trPr>
          <w:trHeight w:val="397"/>
        </w:trPr>
        <w:tc>
          <w:tcPr>
            <w:tcW w:w="2350" w:type="dxa"/>
          </w:tcPr>
          <w:p w14:paraId="4CEEEDE0" w14:textId="77777777" w:rsidR="00D054DE" w:rsidRPr="009715F9" w:rsidRDefault="00D054D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287A1A" w14:textId="77777777" w:rsidR="00D054DE" w:rsidRDefault="00D054DE" w:rsidP="002559B8"/>
        </w:tc>
        <w:tc>
          <w:tcPr>
            <w:tcW w:w="6862" w:type="dxa"/>
            <w:hideMark/>
          </w:tcPr>
          <w:p w14:paraId="7CE0F51C" w14:textId="77777777" w:rsidR="00D054DE" w:rsidRDefault="00D054DE" w:rsidP="002559B8">
            <w:pPr>
              <w:pStyle w:val="KUJKnormal"/>
            </w:pPr>
            <w:r>
              <w:t>Ing. Jan Návara</w:t>
            </w:r>
          </w:p>
        </w:tc>
      </w:tr>
    </w:tbl>
    <w:p w14:paraId="67597D73" w14:textId="77777777" w:rsidR="00D054DE" w:rsidRDefault="00D054DE" w:rsidP="00C06BFA">
      <w:pPr>
        <w:pStyle w:val="KUJKnormal"/>
      </w:pPr>
    </w:p>
    <w:p w14:paraId="6F2E8D86" w14:textId="77777777" w:rsidR="00D054DE" w:rsidRPr="0052161F" w:rsidRDefault="00D054DE" w:rsidP="00C06BFA">
      <w:pPr>
        <w:pStyle w:val="KUJKtucny"/>
      </w:pPr>
      <w:r w:rsidRPr="0052161F">
        <w:t>NÁVRH USNESENÍ</w:t>
      </w:r>
    </w:p>
    <w:p w14:paraId="67F84B55" w14:textId="77777777" w:rsidR="00D054DE" w:rsidRDefault="00D054DE" w:rsidP="00C06BF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B6EED3F" w14:textId="77777777" w:rsidR="00D054DE" w:rsidRPr="00841DFC" w:rsidRDefault="00D054DE" w:rsidP="00C06BFA">
      <w:pPr>
        <w:pStyle w:val="KUJKPolozka"/>
      </w:pPr>
      <w:r w:rsidRPr="00841DFC">
        <w:t>Zastupitelstvo Jihočeského kraje</w:t>
      </w:r>
    </w:p>
    <w:p w14:paraId="29905CE9" w14:textId="77777777" w:rsidR="00D054DE" w:rsidRPr="00E10FE7" w:rsidRDefault="00D054DE" w:rsidP="00665194">
      <w:pPr>
        <w:pStyle w:val="KUJKdoplnek2"/>
      </w:pPr>
      <w:r w:rsidRPr="00AF7BAE">
        <w:t>schvaluje</w:t>
      </w:r>
    </w:p>
    <w:p w14:paraId="22491403" w14:textId="77777777" w:rsidR="00D054DE" w:rsidRDefault="00D054DE" w:rsidP="0066519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„Common Regional Development AT-CZ“ (žadatel Jihočeský kraj, odbor evropských záležitostí) a podání žádosti o podporu do programu INTERREG VI-A Rakousko – Česko 2021-2027 s celkovými výdaji jihočeské části projektu 360 000,- EUR, z toho celkovými způsobilými výdaji jihočeské části projektu 280 000,- EUR,</w:t>
      </w:r>
    </w:p>
    <w:p w14:paraId="689187DC" w14:textId="77777777" w:rsidR="00D054DE" w:rsidRDefault="00D054DE" w:rsidP="0066519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„Common Regional Development AT-CZ“ Jihočeským krajem ve výši 15 % z celkových způsobilých výdajů jihočeské části projektu, tj. 42 000,- EUR, s podmínkou přidělení dotace z programu INTERREG VI-A Rakousko – Česko 2021-2027, s čerpáním na základě Formuláře evropského projektu dle přílohy č. 1 k návrhu č. 417/ZK/22; v případě neschválení spolufinancování ze státního rozpočtu ve výši 5 % celkových způsobilých výdajů jihočeské části projektu bude kofinancování Jihočeským krajem zvýšeno na 20 % celkových způsobilých výdajů jihočeské části projektu (tj. 56 000,- EUR),</w:t>
      </w:r>
    </w:p>
    <w:p w14:paraId="3215FBC8" w14:textId="77777777" w:rsidR="00D054DE" w:rsidRDefault="00D054DE" w:rsidP="0066519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„Common Regional Development AT-CZ“ Jihočeským krajem ve výši 85 % z celkových způsobilých výdajů jihočeské části projektu, tj. 238 000,- EUR, s podmínkou přidělení dotace z programu INTERREG VI-A Rakousko – Česko 2021-2027, s čerpáním na základě Formuláře evropského projektu dle přílohy č. 1 návrhu č. 417/ZK/22;</w:t>
      </w:r>
    </w:p>
    <w:p w14:paraId="106900F9" w14:textId="77777777" w:rsidR="00D054DE" w:rsidRDefault="00D054DE" w:rsidP="00665194">
      <w:pPr>
        <w:pStyle w:val="KUJKpolozka0"/>
        <w:numPr>
          <w:ilvl w:val="0"/>
          <w:numId w:val="11"/>
        </w:numPr>
        <w:jc w:val="both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 xml:space="preserve">4. financování nezpůsobilých výdajů jihočeské části projektu </w:t>
      </w:r>
      <w:r>
        <w:rPr>
          <w:rFonts w:ascii="Arial" w:hAnsi="Arial"/>
          <w:b w:val="0"/>
          <w:bCs/>
          <w:sz w:val="20"/>
          <w:szCs w:val="20"/>
        </w:rPr>
        <w:t>„Common Regional Development AT-CZ“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 w:val="0"/>
          <w:sz w:val="20"/>
          <w:szCs w:val="20"/>
        </w:rPr>
        <w:t xml:space="preserve">z rozpočtu Jihočeského kraje ve výši </w:t>
      </w:r>
      <w:r>
        <w:rPr>
          <w:rFonts w:ascii="Arial" w:hAnsi="Arial"/>
          <w:b w:val="0"/>
          <w:bCs/>
          <w:sz w:val="20"/>
          <w:szCs w:val="20"/>
        </w:rPr>
        <w:t>1 920 000,- Kč</w:t>
      </w:r>
      <w:r>
        <w:rPr>
          <w:rFonts w:ascii="Arial" w:hAnsi="Arial"/>
          <w:b w:val="0"/>
          <w:sz w:val="20"/>
          <w:szCs w:val="20"/>
        </w:rPr>
        <w:t xml:space="preserve"> (tj. 80 000,- EUR), s podmínkou přidělení dotace </w:t>
      </w:r>
      <w:r>
        <w:rPr>
          <w:rFonts w:ascii="Arial" w:hAnsi="Arial"/>
          <w:b w:val="0"/>
          <w:sz w:val="20"/>
          <w:szCs w:val="20"/>
        </w:rPr>
        <w:br/>
        <w:t>z programu INTERREG VI-A Rakousko – Česko 2021-2027, s čerpáním na základě Formuláře evropského projektu dle přílohy č. 1 k návrhu č.</w:t>
      </w:r>
      <w:r w:rsidRPr="00521084">
        <w:rPr>
          <w:rFonts w:ascii="Arial" w:hAnsi="Arial"/>
          <w:b w:val="0"/>
          <w:sz w:val="20"/>
          <w:szCs w:val="20"/>
        </w:rPr>
        <w:t xml:space="preserve"> 417/ZK/22</w:t>
      </w:r>
      <w:r>
        <w:rPr>
          <w:rFonts w:ascii="Arial" w:hAnsi="Arial"/>
          <w:b w:val="0"/>
          <w:sz w:val="20"/>
          <w:szCs w:val="20"/>
        </w:rPr>
        <w:t>;</w:t>
      </w:r>
    </w:p>
    <w:p w14:paraId="275717B7" w14:textId="77777777" w:rsidR="00D054DE" w:rsidRDefault="00D054DE" w:rsidP="00665194">
      <w:pPr>
        <w:pStyle w:val="KUJKdoplnek2"/>
        <w:numPr>
          <w:ilvl w:val="0"/>
          <w:numId w:val="0"/>
        </w:numPr>
        <w:tabs>
          <w:tab w:val="left" w:pos="426"/>
        </w:tabs>
      </w:pPr>
      <w:r>
        <w:t xml:space="preserve">II. </w:t>
      </w:r>
      <w:r>
        <w:tab/>
      </w:r>
      <w:r w:rsidRPr="0021676C">
        <w:t>ukládá</w:t>
      </w:r>
    </w:p>
    <w:p w14:paraId="5335975A" w14:textId="77777777" w:rsidR="00D054DE" w:rsidRDefault="00D054DE" w:rsidP="00665194">
      <w:pPr>
        <w:pStyle w:val="KUJKpolozka0"/>
        <w:numPr>
          <w:ilvl w:val="0"/>
          <w:numId w:val="11"/>
        </w:numPr>
        <w:jc w:val="both"/>
        <w:rPr>
          <w:rFonts w:ascii="Arial" w:hAnsi="Arial"/>
          <w:b w:val="0"/>
          <w:i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 xml:space="preserve">JUDr. Lukáši Glaserovi, řediteli krajského úřadu, zajistit realizaci části I. usnesení.  </w:t>
      </w:r>
    </w:p>
    <w:p w14:paraId="49FC49A9" w14:textId="77777777" w:rsidR="00D054DE" w:rsidRDefault="00D054DE" w:rsidP="00665194">
      <w:pPr>
        <w:pStyle w:val="KUJKpolozka0"/>
        <w:numPr>
          <w:ilvl w:val="0"/>
          <w:numId w:val="11"/>
        </w:numPr>
        <w:jc w:val="both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>T: 31. 12. 2029</w:t>
      </w:r>
    </w:p>
    <w:p w14:paraId="6EA2BCCC" w14:textId="77777777" w:rsidR="00D054DE" w:rsidRDefault="00D054DE" w:rsidP="00665194">
      <w:pPr>
        <w:pStyle w:val="KUJKnormal"/>
      </w:pPr>
    </w:p>
    <w:p w14:paraId="7431C73B" w14:textId="77777777" w:rsidR="00D054DE" w:rsidRPr="00665194" w:rsidRDefault="00D054DE" w:rsidP="00665194">
      <w:pPr>
        <w:pStyle w:val="KUJKnormal"/>
      </w:pPr>
    </w:p>
    <w:p w14:paraId="34B51CA5" w14:textId="77777777" w:rsidR="00D054DE" w:rsidRDefault="00D054DE" w:rsidP="00665194">
      <w:pPr>
        <w:pStyle w:val="KUJKmezeraDZ"/>
      </w:pPr>
      <w:bookmarkStart w:id="1" w:name="US_DuvodZprava"/>
      <w:bookmarkEnd w:id="1"/>
    </w:p>
    <w:p w14:paraId="2318A34F" w14:textId="77777777" w:rsidR="00D054DE" w:rsidRDefault="00D054DE" w:rsidP="00665194">
      <w:pPr>
        <w:pStyle w:val="KUJKnadpisDZ"/>
      </w:pPr>
      <w:r>
        <w:t>DŮVODOVÁ ZPRÁVA</w:t>
      </w:r>
    </w:p>
    <w:p w14:paraId="033DDE7A" w14:textId="77777777" w:rsidR="00D054DE" w:rsidRPr="009B7B0B" w:rsidRDefault="00D054DE" w:rsidP="00665194">
      <w:pPr>
        <w:pStyle w:val="KUJKmezeraDZ"/>
      </w:pPr>
    </w:p>
    <w:p w14:paraId="778C9A73" w14:textId="77777777" w:rsidR="00D054DE" w:rsidRDefault="00D054DE" w:rsidP="00521084">
      <w:pPr>
        <w:pStyle w:val="norm2"/>
        <w:spacing w:before="0" w:beforeAutospacing="0" w:after="0" w:afterAutospacing="0"/>
        <w:ind w:firstLine="0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Jihočeský kraj plánuje prostřednictvím odboru evropských záležitostí předložit na začátku roku 2023 do </w:t>
      </w:r>
      <w:r>
        <w:rPr>
          <w:rFonts w:ascii="Arial" w:hAnsi="Arial" w:cs="Arial"/>
          <w:bCs/>
        </w:rPr>
        <w:t>programu INTERREG VI-A Rakousko – Česko 2021-2027 (dále „program“)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žádost o podporu pro projekt s názvem „Common Regional Development AT-CZ“ (dále „projekt“). </w:t>
      </w:r>
      <w:r>
        <w:rPr>
          <w:rFonts w:ascii="Arial" w:eastAsia="Times New Roman" w:hAnsi="Arial" w:cs="Arial"/>
        </w:rPr>
        <w:t>Dalšími partnery projektu budou zbývající dva kraje na česko-rakouské hranici (Jihomoravský kraj a Kraj Vysočina) a dále hornorakouská společnost Regionalmanagement OÖ GmbH a dolnorakouská NÖ.Regional.GmbH. Vedoucím partnerem projektu bude Kraj Vysočina. Projekt je naplánován na 6 let, tj. do konce roku 2028, což je maximální možná doba realizace projektů v rámci programu. Dotační sazba pro projekty v rámci Evropské územní spolupráce činí 80 % z EFRR, kraje mají kromě toho nárok na 5% financování ze státního rozpočtu.</w:t>
      </w:r>
    </w:p>
    <w:p w14:paraId="680E2D75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Důvodem pro předložení projektu je skutečnost, že stejně jako v minulých programových obdobích bude Jihočeský kraj zapojen v pozici regionálního koordinátora do realizace přeshraničního programu mezi Českou republikou a Rakouskem, nově do programu Interreg VI-A Rakousko – Česko 2021-2027. Jako regionální koordinátor bude Jihočeský kraj plnit funkci prvotního kontaktního místa pro česko-rakouskou spolupráci, a to jak ve formě přeshraničních projektů financovaných z programu i mimo něj, tak </w:t>
      </w:r>
      <w:r>
        <w:rPr>
          <w:rFonts w:ascii="Arial" w:hAnsi="Arial" w:cs="Arial"/>
          <w:sz w:val="20"/>
          <w:szCs w:val="20"/>
        </w:rPr>
        <w:br/>
        <w:t xml:space="preserve">i aktivitami na podporu přeshraničního regionálního rozvoje. </w:t>
      </w:r>
    </w:p>
    <w:p w14:paraId="02F2BFD8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</w:p>
    <w:p w14:paraId="35B668E2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Činnosti spojené s funkcí regionálního koordinátora ale stejně jako doposud nelze v programu hradit </w:t>
      </w:r>
      <w:r>
        <w:rPr>
          <w:rFonts w:ascii="Arial" w:hAnsi="Arial" w:cs="Arial"/>
          <w:sz w:val="20"/>
          <w:szCs w:val="20"/>
        </w:rPr>
        <w:br/>
        <w:t xml:space="preserve">z projektů technické pomoci, a to kvůli nedostatku prostředků technické pomoci vzhledem k celkovému nastavení implementace programu a systému administrace projektů. Technická pomoc jako taková může totiž dle nařízení Evropského parlamentu a Rady (EU) 2021/1059 o zvláštních ustanoveních týkajících se cíle Evropská územní spolupráce (Interreg) činit maximálně 7 % celkových prostředků programu (tj. 7 % z 86,8 mil. EUR) a bude zcela využita na financování základní implementační struktury programu, kterou tvoří Řídící orgán (Land Niederösterreich), Národní orgán (Ministerstvo pro místní rozvoj), kontroloři, auditní a certifikační orgán a Společný sekretariát, a na jimi  zajišťované činnosti (celkové řízení programu, kontrola vyúčtování v rámci projektů, proplácení dotací, publicita, monitorovací systém, organizace monitorovacích výborů atp.). </w:t>
      </w:r>
    </w:p>
    <w:p w14:paraId="31E26E69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</w:p>
    <w:p w14:paraId="56B2877D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Činnosti regionálních koordinátorů je tak možné financovat pouze prostřednictvím samostatného projektu mimo technickou pomoc, přičemž ale nelze hradit veškeré aktivity v plném rozsahu. Vzhledem k ustanovením výše zmíněného nařízení EK k Evropské územní spolupráci, která upravují čerpání technické pomoci, nemohou být ze způsobilých výdajů projektu hrazeny žádné konzultace projektových záměrů </w:t>
      </w:r>
      <w:r>
        <w:rPr>
          <w:rFonts w:ascii="Arial" w:hAnsi="Arial" w:cs="Arial"/>
          <w:sz w:val="20"/>
          <w:szCs w:val="20"/>
        </w:rPr>
        <w:br/>
        <w:t xml:space="preserve">a s nimi související náklady ani aktivity spojené s pomocí žadatelům při přípravě konkrétních přeshraničních projektů financovaných z programu. Důvodem je skutečnost, že konzultace projektů jsou dle nařízení EK financovatelné výhradně z technické pomoci, kterou však Jihočeský kraj vzhledem k omezeným prostředkům čerpat nemůže. Současně je ale ze strany Evropské komise zakázáno uměle navyšovat stanovené maximální procento technické pomoci v programech prostřednictvím jiných podaných projektů. </w:t>
      </w:r>
    </w:p>
    <w:p w14:paraId="1A049BFB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</w:p>
    <w:p w14:paraId="3DE0B04B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 způsobilých výdajů projektu tak budou financovány aktivity spojené s podporou přeshraničního regionálního rozvoje, jako jsou přeshraniční tematické konference, workshopy, semináře a přeshraniční síťová setkání, exkurze, burzy potenciálních projektových partnerů, zprostředkování kontaktů, iniciace projektových záměrů v oblastech podporovaných v rámci programu i mimo něj či práce s veřejností zaměřená na možnosti přeshraniční spolupráce. Součástí projektových aktivit bude i příprava nového programového období 2028+ v oblasti Evropské územní spolupráce. Dále bude financována administrace samotného projektu, konkrétně personální náklady v úvazku 0,6 a související kancelářské a administrativní výdaje, cestovné či jazykové vzdělávání. </w:t>
      </w:r>
    </w:p>
    <w:p w14:paraId="6FD80B5A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Mimo projekt, tzn. z nezpůsobilých výdajů, je pak nutné hradit náklady spojené s konzultacemi konkrétních přeshraničních projektů, poradenství pro žadatele ohledně podání projektové žádosti do programu či organizaci přeshraničních kulatých stolů projektových partnerů, a to vč. souvisejících personálních výdajů (zbývající část úvazku v rozsahu 0,4 vč. cestovného) a potřebných služeb (především tlumočení pro přeshraniční kulaté stoly). Díky financování těchto aktivit ale bude v regionu zajištěno kontaktní místo pro žadatele se zájmem o podání česko-rakouského projektu, jehož fungování je dle zkušeností z předchozích programových období zásadní pro zajištění co největšího počtu projektů s účastí jihočeských projektových partnerů, a tím i pro maximální čerpání evropských prostředků ze  segmentu Evropské územní spolupráce ve prospěch Jihočeského kraje.</w:t>
      </w:r>
    </w:p>
    <w:p w14:paraId="4E38814B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</w:p>
    <w:p w14:paraId="68C4EEFD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Jakkoli jsou v projektu plánovány nezpůsobilé výdaje ve výši 1 920 000,- Kč, lze dnešní optikou předpokládat, že jejich reálné čerpání z rozpočtu kraje bude nižší. Personální náklady projektu jsou totiž vypočteny na základě tzv. paušální stupnice jednotkových nákladů stanovující pevné hodinové/měsíční sazby pro jednotlivé pozice v projektech, které ale překračují mzdové prostředky reálně vyplácené osobám pracujícím na projektu v rámci krajského úřadu. Z částky personálních nákladů se dále vypočítává také pevně stanovený paušál na administrativní a kancelářské výdaje (15 %) a na cestovné (6 %). V praxi to znamená, že Jihočeský kraj obdrží (minimálně v prvních letech projektu) u příslušných kategorií výdajů v rámci projektu vyšší částku, než reálně vydá. Vyplacenou částku paušálu na způsobilé výdaje tak bude možné využít i pro financování výdajů, které jsou v projektu nezpůsobilé, neboť u paušálně vyplácených částek odpadá dokladování skutečně vynaložených nákladů. Přesná výše čerpání nezpůsobilých výdajů ale bude závislá na skutečně vynaložených částkách, jejichž výše se může v delším časovém horizontu, na který je projekt plánován, měnit.</w:t>
      </w:r>
    </w:p>
    <w:p w14:paraId="66114A75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</w:p>
    <w:p w14:paraId="40624F95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nákladů vychází ze zkušeností z předchozích projektů RECOM v rámci programu EÚS Rakousko – Česká republika 2007-2013 a CONNREG v rámci programu Interreg V-A Rakousko – Česká republika </w:t>
      </w:r>
      <w:r>
        <w:rPr>
          <w:rFonts w:ascii="Arial" w:hAnsi="Arial" w:cs="Arial"/>
          <w:sz w:val="20"/>
          <w:szCs w:val="20"/>
        </w:rPr>
        <w:br/>
        <w:t>2014-2020 a v obdobné výši a struktuře je plánována i v ostatních zapojených českých krajích (Kraji Vysočina a Jihomoravském kraji).</w:t>
      </w:r>
    </w:p>
    <w:p w14:paraId="1693E23F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</w:p>
    <w:p w14:paraId="425B3991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vyhlášeným pravidlům v rámci tohoto operačního programu je používanou měnovou jednotkou euro. Celkové výdaje jihočeské části projektu činí 360 000,- EUR, tj. 8 640 000,- Kč, z toho celkové způsobilé výdaje jihočeské části projektu jsou 280 000,- EUR, tj. 6 720 000,- Kč. K přepočtu je použit kurz 24,- Kč/EUR stanovený podle tabulky krajské predikce kurzu Kč/EUR, schválené Zastupitelstvem Jihočeského kraje.</w:t>
      </w:r>
    </w:p>
    <w:p w14:paraId="40BC4FBC" w14:textId="77777777" w:rsidR="00D054DE" w:rsidRDefault="00D054DE" w:rsidP="00521084">
      <w:pPr>
        <w:pStyle w:val="KUJKnormal"/>
        <w:rPr>
          <w:rFonts w:cs="Arial"/>
          <w:szCs w:val="20"/>
        </w:rPr>
      </w:pPr>
    </w:p>
    <w:p w14:paraId="134BB3E5" w14:textId="77777777" w:rsidR="00D054DE" w:rsidRPr="00CB5AE2" w:rsidRDefault="00D054DE" w:rsidP="00CB5AE2">
      <w:pPr>
        <w:jc w:val="both"/>
        <w:rPr>
          <w:rFonts w:ascii="Arial" w:hAnsi="Arial" w:cs="Arial"/>
          <w:sz w:val="20"/>
          <w:szCs w:val="20"/>
        </w:rPr>
      </w:pPr>
      <w:r w:rsidRPr="00CB5AE2">
        <w:rPr>
          <w:rFonts w:ascii="Arial" w:hAnsi="Arial" w:cs="Arial"/>
          <w:sz w:val="20"/>
          <w:szCs w:val="20"/>
        </w:rPr>
        <w:t xml:space="preserve">Návrh projednala dne 1. 12. 2022 rada kraje, která svým usnesením č. 1331/2022/RK-55 doporučila zastupitelstvu kraje realizaci projektu Common Regional Development AT-CZ a předfinancování </w:t>
      </w:r>
      <w:r>
        <w:rPr>
          <w:rFonts w:ascii="Arial" w:hAnsi="Arial" w:cs="Arial"/>
          <w:sz w:val="20"/>
          <w:szCs w:val="20"/>
        </w:rPr>
        <w:br/>
      </w:r>
      <w:r w:rsidRPr="00CB5AE2">
        <w:rPr>
          <w:rFonts w:ascii="Arial" w:hAnsi="Arial" w:cs="Arial"/>
          <w:sz w:val="20"/>
          <w:szCs w:val="20"/>
        </w:rPr>
        <w:t>a kofinancování jeho způsobilých výdajů a financování nezpůsobilých výdajů schválit.</w:t>
      </w:r>
    </w:p>
    <w:p w14:paraId="5A410E70" w14:textId="77777777" w:rsidR="00D054DE" w:rsidRDefault="00D054DE" w:rsidP="00521084">
      <w:pPr>
        <w:pStyle w:val="KUJKnormal"/>
        <w:rPr>
          <w:rFonts w:cs="Arial"/>
          <w:szCs w:val="20"/>
        </w:rPr>
      </w:pPr>
    </w:p>
    <w:p w14:paraId="0CD3CC03" w14:textId="77777777" w:rsidR="00D054DE" w:rsidRDefault="00D054DE" w:rsidP="005210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Finanční nároky a krytí: Celkové výdaje jihočeské části projektu činí 360 000,- EUR, tj. 8 640 000,- Kč. Finanční částka bude poskytnuta z ORJ 20 – Strukturální fondy EU. </w:t>
      </w:r>
    </w:p>
    <w:p w14:paraId="34464317" w14:textId="77777777" w:rsidR="00D054DE" w:rsidRDefault="00D054DE" w:rsidP="00521084">
      <w:pPr>
        <w:pStyle w:val="KUJKnormal"/>
        <w:rPr>
          <w:rFonts w:cs="Arial"/>
          <w:szCs w:val="20"/>
        </w:rPr>
      </w:pPr>
    </w:p>
    <w:p w14:paraId="0688A572" w14:textId="77777777" w:rsidR="00D054DE" w:rsidRDefault="00D054DE" w:rsidP="00B978B3">
      <w:pPr>
        <w:pStyle w:val="KUJKnormal"/>
      </w:pPr>
      <w:r>
        <w:rPr>
          <w:rFonts w:cs="Arial"/>
          <w:szCs w:val="20"/>
        </w:rPr>
        <w:t xml:space="preserve">Vyjádření správce rozpočtu: </w:t>
      </w:r>
      <w:r>
        <w:t>Ing. Michaela Zárubová (OEKO):</w:t>
      </w:r>
      <w:r w:rsidRPr="007666AA">
        <w:t xml:space="preserve"> </w:t>
      </w:r>
      <w:r>
        <w:t>Souhlasím, prostředky na projekt jsou součástí návrhu rozpočtu na rok 2023 a SVR 2024-25 (v rezervě ORJ 20) a bude je nutné aktualizovat dle skutečné potřeby financování projektu v průběhu roku 2023.</w:t>
      </w:r>
    </w:p>
    <w:p w14:paraId="433FC2F5" w14:textId="77777777" w:rsidR="00D054DE" w:rsidRDefault="00D054DE" w:rsidP="00521084">
      <w:pPr>
        <w:pStyle w:val="KUJKnormal"/>
        <w:rPr>
          <w:rFonts w:cs="Arial"/>
          <w:szCs w:val="20"/>
        </w:rPr>
      </w:pPr>
    </w:p>
    <w:p w14:paraId="002701DB" w14:textId="77777777" w:rsidR="00D054DE" w:rsidRDefault="00D054DE" w:rsidP="0052108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-  seznam konzultantů, stanoviska: Není relevantní.</w:t>
      </w:r>
    </w:p>
    <w:p w14:paraId="737EE1A8" w14:textId="77777777" w:rsidR="00D054DE" w:rsidRDefault="00D054DE" w:rsidP="00521084">
      <w:pPr>
        <w:pStyle w:val="KUJKnormal"/>
        <w:rPr>
          <w:rFonts w:cs="Arial"/>
          <w:szCs w:val="20"/>
        </w:rPr>
      </w:pPr>
    </w:p>
    <w:p w14:paraId="65A3E596" w14:textId="77777777" w:rsidR="00D054DE" w:rsidRDefault="00D054DE" w:rsidP="00521084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>PŘÍLOHY:</w:t>
      </w:r>
    </w:p>
    <w:p w14:paraId="5BABA7F2" w14:textId="77777777" w:rsidR="00D054DE" w:rsidRPr="00B52AA9" w:rsidRDefault="00D054DE" w:rsidP="000A31DF">
      <w:pPr>
        <w:pStyle w:val="KUJKcislovany"/>
      </w:pPr>
      <w:r>
        <w:t>Příloha č. 1</w:t>
      </w:r>
      <w:r w:rsidRPr="0081756D">
        <w:t xml:space="preserve"> (</w:t>
      </w:r>
      <w:r>
        <w:t>Příloha_č. 1 k návrhu č. 417_ZK_22_Formulář evropského projektu.xls</w:t>
      </w:r>
      <w:r w:rsidRPr="0081756D">
        <w:t>)</w:t>
      </w:r>
    </w:p>
    <w:p w14:paraId="6356E3CD" w14:textId="77777777" w:rsidR="00D054DE" w:rsidRDefault="00D054DE" w:rsidP="00521084">
      <w:pPr>
        <w:pStyle w:val="KUJKnormal"/>
        <w:rPr>
          <w:rFonts w:cs="Arial"/>
          <w:szCs w:val="20"/>
        </w:rPr>
      </w:pPr>
    </w:p>
    <w:p w14:paraId="176E171A" w14:textId="77777777" w:rsidR="00D054DE" w:rsidRDefault="00D054DE" w:rsidP="00521084">
      <w:pPr>
        <w:pStyle w:val="KUJKnormal"/>
        <w:rPr>
          <w:rFonts w:cs="Arial"/>
          <w:szCs w:val="20"/>
        </w:rPr>
      </w:pPr>
    </w:p>
    <w:p w14:paraId="7578FBEF" w14:textId="77777777" w:rsidR="00D054DE" w:rsidRDefault="00D054DE" w:rsidP="00521084">
      <w:pPr>
        <w:pStyle w:val="KUJKtucny"/>
        <w:rPr>
          <w:rFonts w:cs="Arial"/>
          <w:b w:val="0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szCs w:val="20"/>
        </w:rPr>
        <w:t>Ing. Jan Návara, vedoucí OEZI</w:t>
      </w:r>
    </w:p>
    <w:p w14:paraId="3D660892" w14:textId="77777777" w:rsidR="00D054DE" w:rsidRDefault="00D054DE" w:rsidP="00521084">
      <w:pPr>
        <w:pStyle w:val="KUJKnormal"/>
        <w:rPr>
          <w:rFonts w:cs="Arial"/>
          <w:szCs w:val="20"/>
        </w:rPr>
      </w:pPr>
    </w:p>
    <w:p w14:paraId="0E638F8D" w14:textId="77777777" w:rsidR="00D054DE" w:rsidRDefault="00D054DE" w:rsidP="0052108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30. 1. 2030</w:t>
      </w:r>
    </w:p>
    <w:p w14:paraId="1C86C4C7" w14:textId="77777777" w:rsidR="00D054DE" w:rsidRDefault="00D054DE" w:rsidP="0052108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31. 12. 2029</w:t>
      </w:r>
    </w:p>
    <w:p w14:paraId="7937D4BD" w14:textId="77777777" w:rsidR="00D054DE" w:rsidRDefault="00D054DE" w:rsidP="00521084">
      <w:pPr>
        <w:pStyle w:val="KUJKdoplnek2"/>
        <w:numPr>
          <w:ilvl w:val="0"/>
          <w:numId w:val="0"/>
        </w:numPr>
        <w:tabs>
          <w:tab w:val="left" w:pos="708"/>
        </w:tabs>
        <w:ind w:left="360" w:hanging="360"/>
        <w:rPr>
          <w:rFonts w:cs="Arial"/>
          <w:szCs w:val="20"/>
        </w:rPr>
      </w:pPr>
    </w:p>
    <w:p w14:paraId="6DE95DAE" w14:textId="77777777" w:rsidR="00D054DE" w:rsidRDefault="00D054DE" w:rsidP="00521084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E3D" w14:textId="77777777" w:rsidR="00D054DE" w:rsidRDefault="00D054DE" w:rsidP="00D054DE">
    <w:r>
      <w:rPr>
        <w:noProof/>
      </w:rPr>
      <w:pict w14:anchorId="74DCD8B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0F25927" w14:textId="77777777" w:rsidR="00D054DE" w:rsidRPr="005F485E" w:rsidRDefault="00D054DE" w:rsidP="00D054D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C52E6F0" w14:textId="77777777" w:rsidR="00D054DE" w:rsidRPr="005F485E" w:rsidRDefault="00D054DE" w:rsidP="00D054D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7732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C55D7DB" w14:textId="77777777" w:rsidR="00D054DE" w:rsidRDefault="00D054DE" w:rsidP="00D054DE">
    <w:r>
      <w:pict w14:anchorId="7797ADC5">
        <v:rect id="_x0000_i1026" style="width:481.9pt;height:2pt" o:hralign="center" o:hrstd="t" o:hrnoshade="t" o:hr="t" fillcolor="black" stroked="f"/>
      </w:pict>
    </w:r>
  </w:p>
  <w:p w14:paraId="340F34DF" w14:textId="77777777" w:rsidR="00D054DE" w:rsidRPr="00D054DE" w:rsidRDefault="00D054DE" w:rsidP="00D054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449394">
    <w:abstractNumId w:val="1"/>
  </w:num>
  <w:num w:numId="2" w16cid:durableId="1652516426">
    <w:abstractNumId w:val="2"/>
  </w:num>
  <w:num w:numId="3" w16cid:durableId="297221700">
    <w:abstractNumId w:val="9"/>
  </w:num>
  <w:num w:numId="4" w16cid:durableId="1516728964">
    <w:abstractNumId w:val="7"/>
  </w:num>
  <w:num w:numId="5" w16cid:durableId="1402368815">
    <w:abstractNumId w:val="0"/>
  </w:num>
  <w:num w:numId="6" w16cid:durableId="2058041299">
    <w:abstractNumId w:val="3"/>
  </w:num>
  <w:num w:numId="7" w16cid:durableId="1117334166">
    <w:abstractNumId w:val="6"/>
  </w:num>
  <w:num w:numId="8" w16cid:durableId="1209689048">
    <w:abstractNumId w:val="4"/>
  </w:num>
  <w:num w:numId="9" w16cid:durableId="1636638791">
    <w:abstractNumId w:val="5"/>
  </w:num>
  <w:num w:numId="10" w16cid:durableId="20593812">
    <w:abstractNumId w:val="8"/>
  </w:num>
  <w:num w:numId="11" w16cid:durableId="1070616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54DE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KUJKnormal"/>
    <w:next w:val="KUJKnormal"/>
    <w:qFormat/>
    <w:rsid w:val="00D054DE"/>
    <w:pPr>
      <w:jc w:val="left"/>
    </w:pPr>
    <w:rPr>
      <w:rFonts w:ascii="Times New Roman" w:hAnsi="Times New Roman" w:cs="Arial"/>
      <w:b/>
      <w:sz w:val="28"/>
    </w:rPr>
  </w:style>
  <w:style w:type="paragraph" w:customStyle="1" w:styleId="norm2">
    <w:name w:val="norm.2"/>
    <w:basedOn w:val="Normln"/>
    <w:qFormat/>
    <w:rsid w:val="00D054DE"/>
    <w:pPr>
      <w:spacing w:before="100" w:beforeAutospacing="1" w:after="100" w:afterAutospacing="1"/>
      <w:ind w:firstLine="709"/>
      <w:jc w:val="both"/>
    </w:pPr>
    <w:rPr>
      <w:rFonts w:ascii="Calibri" w:hAnsi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2022-12-21T09:09:00Z</dcterms:created>
  <dcterms:modified xsi:type="dcterms:W3CDTF">2022-12-21T09:09:00Z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6174257</vt:i4>
  </property>
  <property fmtid="{D5CDD505-2E9C-101B-9397-08002B2CF9AE}" pid="4" name="UlozitJako">
    <vt:lpwstr>C:\Users\mrazkova\AppData\Local\Temp\iU61782472\Zastupitelstvo\2022-12-15\Navrhy\417-ZK-22.</vt:lpwstr>
  </property>
  <property fmtid="{D5CDD505-2E9C-101B-9397-08002B2CF9AE}" pid="5" name="Zpracovat">
    <vt:bool>false</vt:bool>
  </property>
</Properties>
</file>