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15D1D" w14:paraId="69512090" w14:textId="77777777" w:rsidTr="00696E73">
        <w:trPr>
          <w:trHeight w:hRule="exact" w:val="397"/>
        </w:trPr>
        <w:tc>
          <w:tcPr>
            <w:tcW w:w="2376" w:type="dxa"/>
            <w:hideMark/>
          </w:tcPr>
          <w:p w14:paraId="62BDD436" w14:textId="77777777" w:rsidR="00B15D1D" w:rsidRDefault="00B15D1D" w:rsidP="00970720">
            <w:pPr>
              <w:pStyle w:val="KUJKtucny"/>
            </w:pPr>
            <w:r>
              <w:t>Datum jednání:</w:t>
            </w:r>
          </w:p>
        </w:tc>
        <w:tc>
          <w:tcPr>
            <w:tcW w:w="3828" w:type="dxa"/>
            <w:hideMark/>
          </w:tcPr>
          <w:p w14:paraId="27831980" w14:textId="77777777" w:rsidR="00B15D1D" w:rsidRDefault="00B15D1D" w:rsidP="00970720">
            <w:pPr>
              <w:pStyle w:val="KUJKnormal"/>
            </w:pPr>
            <w:r>
              <w:t>10. 11. 2022</w:t>
            </w:r>
          </w:p>
        </w:tc>
        <w:tc>
          <w:tcPr>
            <w:tcW w:w="2126" w:type="dxa"/>
            <w:hideMark/>
          </w:tcPr>
          <w:p w14:paraId="6B75FCF8" w14:textId="77777777" w:rsidR="00B15D1D" w:rsidRDefault="00B15D1D" w:rsidP="00970720">
            <w:pPr>
              <w:pStyle w:val="KUJKtucny"/>
            </w:pPr>
            <w:r>
              <w:t>Bod programu:</w:t>
            </w:r>
          </w:p>
        </w:tc>
        <w:tc>
          <w:tcPr>
            <w:tcW w:w="850" w:type="dxa"/>
          </w:tcPr>
          <w:p w14:paraId="28769C26" w14:textId="77777777" w:rsidR="00B15D1D" w:rsidRDefault="00B15D1D" w:rsidP="00970720">
            <w:pPr>
              <w:pStyle w:val="KUJKnormal"/>
            </w:pPr>
          </w:p>
        </w:tc>
      </w:tr>
      <w:tr w:rsidR="00B15D1D" w14:paraId="796ABB5E" w14:textId="77777777" w:rsidTr="00696E73">
        <w:trPr>
          <w:cantSplit/>
          <w:trHeight w:hRule="exact" w:val="397"/>
        </w:trPr>
        <w:tc>
          <w:tcPr>
            <w:tcW w:w="2376" w:type="dxa"/>
            <w:hideMark/>
          </w:tcPr>
          <w:p w14:paraId="685B2E72" w14:textId="77777777" w:rsidR="00B15D1D" w:rsidRDefault="00B15D1D" w:rsidP="00970720">
            <w:pPr>
              <w:pStyle w:val="KUJKtucny"/>
            </w:pPr>
            <w:r>
              <w:t>Číslo návrhu:</w:t>
            </w:r>
          </w:p>
        </w:tc>
        <w:tc>
          <w:tcPr>
            <w:tcW w:w="6804" w:type="dxa"/>
            <w:gridSpan w:val="3"/>
            <w:hideMark/>
          </w:tcPr>
          <w:p w14:paraId="0D11A81B" w14:textId="77777777" w:rsidR="00B15D1D" w:rsidRDefault="00B15D1D" w:rsidP="00970720">
            <w:pPr>
              <w:pStyle w:val="KUJKnormal"/>
            </w:pPr>
            <w:r>
              <w:t>405/ZK/22</w:t>
            </w:r>
          </w:p>
        </w:tc>
      </w:tr>
      <w:tr w:rsidR="00B15D1D" w14:paraId="37F6D1AB" w14:textId="77777777" w:rsidTr="00696E73">
        <w:trPr>
          <w:trHeight w:val="397"/>
        </w:trPr>
        <w:tc>
          <w:tcPr>
            <w:tcW w:w="2376" w:type="dxa"/>
          </w:tcPr>
          <w:p w14:paraId="0EA301C2" w14:textId="77777777" w:rsidR="00B15D1D" w:rsidRDefault="00B15D1D" w:rsidP="00970720"/>
          <w:p w14:paraId="1E8725A7" w14:textId="77777777" w:rsidR="00B15D1D" w:rsidRDefault="00B15D1D" w:rsidP="00970720">
            <w:pPr>
              <w:pStyle w:val="KUJKtucny"/>
            </w:pPr>
            <w:r>
              <w:t>Název bodu:</w:t>
            </w:r>
          </w:p>
        </w:tc>
        <w:tc>
          <w:tcPr>
            <w:tcW w:w="6804" w:type="dxa"/>
            <w:gridSpan w:val="3"/>
          </w:tcPr>
          <w:p w14:paraId="41BC37A8" w14:textId="77777777" w:rsidR="00B15D1D" w:rsidRDefault="00B15D1D" w:rsidP="00970720"/>
          <w:p w14:paraId="6CB00683" w14:textId="77777777" w:rsidR="00B15D1D" w:rsidRDefault="00B15D1D" w:rsidP="00970720">
            <w:pPr>
              <w:pStyle w:val="KUJKtucny"/>
              <w:rPr>
                <w:sz w:val="22"/>
                <w:szCs w:val="22"/>
              </w:rPr>
            </w:pPr>
            <w:r>
              <w:rPr>
                <w:sz w:val="22"/>
                <w:szCs w:val="22"/>
              </w:rPr>
              <w:t>Realizace projektu „Loučovice – cyklostezka podél náhonu“ a jeho financování z rozpočtu JčK</w:t>
            </w:r>
          </w:p>
        </w:tc>
      </w:tr>
    </w:tbl>
    <w:p w14:paraId="12D64D30" w14:textId="77777777" w:rsidR="00B15D1D" w:rsidRDefault="00B15D1D" w:rsidP="00696E73">
      <w:pPr>
        <w:pStyle w:val="KUJKnormal"/>
        <w:rPr>
          <w:b/>
          <w:bCs/>
        </w:rPr>
      </w:pPr>
      <w:r>
        <w:rPr>
          <w:b/>
          <w:bCs/>
        </w:rPr>
        <w:pict w14:anchorId="49ABE6B0">
          <v:rect id="_x0000_i1029" style="width:453.6pt;height:1.5pt" o:hralign="center" o:hrstd="t" o:hrnoshade="t" o:hr="t" fillcolor="black" stroked="f"/>
        </w:pict>
      </w:r>
    </w:p>
    <w:p w14:paraId="425BE987" w14:textId="77777777" w:rsidR="00B15D1D" w:rsidRDefault="00B15D1D" w:rsidP="00696E73">
      <w:pPr>
        <w:pStyle w:val="KUJKnormal"/>
      </w:pPr>
    </w:p>
    <w:p w14:paraId="5B1AB7A2" w14:textId="77777777" w:rsidR="00B15D1D" w:rsidRDefault="00B15D1D" w:rsidP="00696E73"/>
    <w:tbl>
      <w:tblPr>
        <w:tblW w:w="0" w:type="auto"/>
        <w:tblCellMar>
          <w:left w:w="70" w:type="dxa"/>
          <w:right w:w="70" w:type="dxa"/>
        </w:tblCellMar>
        <w:tblLook w:val="04A0" w:firstRow="1" w:lastRow="0" w:firstColumn="1" w:lastColumn="0" w:noHBand="0" w:noVBand="1"/>
      </w:tblPr>
      <w:tblGrid>
        <w:gridCol w:w="2350"/>
        <w:gridCol w:w="6862"/>
      </w:tblGrid>
      <w:tr w:rsidR="00B15D1D" w14:paraId="5856C122" w14:textId="77777777" w:rsidTr="002559B8">
        <w:trPr>
          <w:trHeight w:val="397"/>
        </w:trPr>
        <w:tc>
          <w:tcPr>
            <w:tcW w:w="2350" w:type="dxa"/>
            <w:hideMark/>
          </w:tcPr>
          <w:p w14:paraId="2B03A8A8" w14:textId="77777777" w:rsidR="00B15D1D" w:rsidRDefault="00B15D1D" w:rsidP="002559B8">
            <w:pPr>
              <w:pStyle w:val="KUJKtucny"/>
            </w:pPr>
            <w:r>
              <w:t>Předkladatel:</w:t>
            </w:r>
          </w:p>
        </w:tc>
        <w:tc>
          <w:tcPr>
            <w:tcW w:w="6862" w:type="dxa"/>
          </w:tcPr>
          <w:p w14:paraId="4669F099" w14:textId="77777777" w:rsidR="00B15D1D" w:rsidRDefault="00B15D1D" w:rsidP="002559B8">
            <w:pPr>
              <w:pStyle w:val="KUJKnormal"/>
            </w:pPr>
            <w:r>
              <w:t>Ing. Tomáš Hajdušek</w:t>
            </w:r>
          </w:p>
          <w:p w14:paraId="694006EE" w14:textId="77777777" w:rsidR="00B15D1D" w:rsidRDefault="00B15D1D" w:rsidP="002559B8"/>
        </w:tc>
      </w:tr>
      <w:tr w:rsidR="00B15D1D" w14:paraId="695F6D9F" w14:textId="77777777" w:rsidTr="002559B8">
        <w:trPr>
          <w:trHeight w:val="397"/>
        </w:trPr>
        <w:tc>
          <w:tcPr>
            <w:tcW w:w="2350" w:type="dxa"/>
          </w:tcPr>
          <w:p w14:paraId="133C2C0B" w14:textId="77777777" w:rsidR="00B15D1D" w:rsidRDefault="00B15D1D" w:rsidP="002559B8">
            <w:pPr>
              <w:pStyle w:val="KUJKtucny"/>
            </w:pPr>
            <w:r>
              <w:t>Zpracoval:</w:t>
            </w:r>
          </w:p>
          <w:p w14:paraId="06724AB0" w14:textId="77777777" w:rsidR="00B15D1D" w:rsidRDefault="00B15D1D" w:rsidP="002559B8"/>
        </w:tc>
        <w:tc>
          <w:tcPr>
            <w:tcW w:w="6862" w:type="dxa"/>
            <w:hideMark/>
          </w:tcPr>
          <w:p w14:paraId="69A7E740" w14:textId="77777777" w:rsidR="00B15D1D" w:rsidRDefault="00B15D1D" w:rsidP="002559B8">
            <w:pPr>
              <w:pStyle w:val="KUJKnormal"/>
            </w:pPr>
            <w:r>
              <w:t>ODSH</w:t>
            </w:r>
          </w:p>
        </w:tc>
      </w:tr>
      <w:tr w:rsidR="00B15D1D" w14:paraId="4AA09AF8" w14:textId="77777777" w:rsidTr="002559B8">
        <w:trPr>
          <w:trHeight w:val="397"/>
        </w:trPr>
        <w:tc>
          <w:tcPr>
            <w:tcW w:w="2350" w:type="dxa"/>
          </w:tcPr>
          <w:p w14:paraId="0CFD51C5" w14:textId="77777777" w:rsidR="00B15D1D" w:rsidRPr="009715F9" w:rsidRDefault="00B15D1D" w:rsidP="002559B8">
            <w:pPr>
              <w:pStyle w:val="KUJKnormal"/>
              <w:rPr>
                <w:b/>
              </w:rPr>
            </w:pPr>
            <w:r w:rsidRPr="009715F9">
              <w:rPr>
                <w:b/>
              </w:rPr>
              <w:t>Vedoucí odboru:</w:t>
            </w:r>
          </w:p>
          <w:p w14:paraId="6D36A058" w14:textId="77777777" w:rsidR="00B15D1D" w:rsidRDefault="00B15D1D" w:rsidP="002559B8"/>
        </w:tc>
        <w:tc>
          <w:tcPr>
            <w:tcW w:w="6862" w:type="dxa"/>
            <w:hideMark/>
          </w:tcPr>
          <w:p w14:paraId="63B24F7F" w14:textId="77777777" w:rsidR="00B15D1D" w:rsidRDefault="00B15D1D" w:rsidP="002559B8">
            <w:pPr>
              <w:pStyle w:val="KUJKnormal"/>
            </w:pPr>
            <w:r>
              <w:t>JUDr. Andrea Tetourová</w:t>
            </w:r>
          </w:p>
        </w:tc>
      </w:tr>
    </w:tbl>
    <w:p w14:paraId="0E660226" w14:textId="77777777" w:rsidR="00B15D1D" w:rsidRDefault="00B15D1D" w:rsidP="00696E73">
      <w:pPr>
        <w:pStyle w:val="KUJKnormal"/>
      </w:pPr>
    </w:p>
    <w:p w14:paraId="7A6D2E6A" w14:textId="77777777" w:rsidR="00B15D1D" w:rsidRPr="0052161F" w:rsidRDefault="00B15D1D" w:rsidP="00696E73">
      <w:pPr>
        <w:pStyle w:val="KUJKtucny"/>
      </w:pPr>
      <w:r w:rsidRPr="0052161F">
        <w:t>NÁVRH USNESENÍ</w:t>
      </w:r>
    </w:p>
    <w:p w14:paraId="499A84B4" w14:textId="77777777" w:rsidR="00B15D1D" w:rsidRDefault="00B15D1D" w:rsidP="00696E73">
      <w:pPr>
        <w:pStyle w:val="KUJKnormal"/>
        <w:rPr>
          <w:rFonts w:ascii="Calibri" w:hAnsi="Calibri" w:cs="Calibri"/>
          <w:sz w:val="12"/>
          <w:szCs w:val="12"/>
        </w:rPr>
      </w:pPr>
      <w:bookmarkStart w:id="0" w:name="US_ZaVeVeci"/>
      <w:bookmarkEnd w:id="0"/>
    </w:p>
    <w:p w14:paraId="47E1D252" w14:textId="77777777" w:rsidR="00B15D1D" w:rsidRPr="00841DFC" w:rsidRDefault="00B15D1D" w:rsidP="00696E73">
      <w:pPr>
        <w:pStyle w:val="KUJKPolozka"/>
      </w:pPr>
      <w:r w:rsidRPr="00841DFC">
        <w:t>Zastupitelstvo Jihočeského kraje</w:t>
      </w:r>
    </w:p>
    <w:p w14:paraId="3D4E60F7" w14:textId="77777777" w:rsidR="00B15D1D" w:rsidRPr="00E10FE7" w:rsidRDefault="00B15D1D" w:rsidP="00085860">
      <w:pPr>
        <w:pStyle w:val="KUJKdoplnek2"/>
      </w:pPr>
      <w:r w:rsidRPr="00AF7BAE">
        <w:t>schvaluje</w:t>
      </w:r>
    </w:p>
    <w:p w14:paraId="02EAC105" w14:textId="77777777" w:rsidR="00B15D1D" w:rsidRPr="00085860" w:rsidRDefault="00B15D1D" w:rsidP="00085860">
      <w:pPr>
        <w:pStyle w:val="KUJKPolozka"/>
        <w:ind w:left="284" w:hanging="284"/>
        <w:rPr>
          <w:b w:val="0"/>
          <w:bCs/>
        </w:rPr>
      </w:pPr>
      <w:r w:rsidRPr="00085860">
        <w:rPr>
          <w:b w:val="0"/>
          <w:bCs/>
        </w:rPr>
        <w:t>1. realizaci projektu Jihočeského kraje „Loučovice – cyklostezka podél náhonu“ a podání žádosti o podporu do průběžné 35. výzvy Priorita 6 specifického cíle 6.1 Integrovaného regionálního operačního programu 2021-2027 (dále jen IROP 2021-2027) s celkovými výdaji ve výši 95 650 045,00 Kč vč. DPH, z toho způsobilými výdaji ve výši 50 000 000,00 Kč vč. DPH,</w:t>
      </w:r>
    </w:p>
    <w:p w14:paraId="02FB95C4" w14:textId="77777777" w:rsidR="00B15D1D" w:rsidRPr="00085860" w:rsidRDefault="00B15D1D" w:rsidP="00085860">
      <w:pPr>
        <w:pStyle w:val="KUJKPolozka"/>
        <w:ind w:left="284" w:hanging="284"/>
        <w:rPr>
          <w:b w:val="0"/>
          <w:bCs/>
        </w:rPr>
      </w:pPr>
      <w:r w:rsidRPr="00085860">
        <w:rPr>
          <w:b w:val="0"/>
          <w:bCs/>
        </w:rPr>
        <w:t xml:space="preserve">2. kofinancování projektu ve výši 15 % ze způsobilých výdajů projektu, tj. 7 500 000,00 Kč vč. DPH, s podmínkou přidělení dotace z IROP 2021-2027 s čerpáním na základě Formuláře evropského projektu dle přílohy č. 1 návrhu č. </w:t>
      </w:r>
      <w:r>
        <w:rPr>
          <w:b w:val="0"/>
          <w:bCs/>
        </w:rPr>
        <w:t>405</w:t>
      </w:r>
      <w:r w:rsidRPr="00085860">
        <w:rPr>
          <w:b w:val="0"/>
          <w:bCs/>
        </w:rPr>
        <w:t>/</w:t>
      </w:r>
      <w:r>
        <w:rPr>
          <w:b w:val="0"/>
          <w:bCs/>
        </w:rPr>
        <w:t>ZK</w:t>
      </w:r>
      <w:r w:rsidRPr="00085860">
        <w:rPr>
          <w:b w:val="0"/>
          <w:bCs/>
        </w:rPr>
        <w:t xml:space="preserve">/22, </w:t>
      </w:r>
    </w:p>
    <w:p w14:paraId="08AD357C" w14:textId="77777777" w:rsidR="00B15D1D" w:rsidRPr="00085860" w:rsidRDefault="00B15D1D" w:rsidP="00085860">
      <w:pPr>
        <w:pStyle w:val="KUJKPolozka"/>
        <w:ind w:left="284" w:hanging="284"/>
        <w:rPr>
          <w:b w:val="0"/>
          <w:bCs/>
        </w:rPr>
      </w:pPr>
      <w:r w:rsidRPr="00085860">
        <w:rPr>
          <w:b w:val="0"/>
          <w:bCs/>
        </w:rPr>
        <w:t xml:space="preserve">3. předfinancování projektu ve výši 85 % ze způsobilých výdajů projektu, tj. 42 500 000,00 Kč vč. DPH s podmínkou přidělení dotace z IROP 2021-2027 s čerpáním na základě Formuláře evropského projektu dle přílohy č. 1 návrhu č. </w:t>
      </w:r>
      <w:r>
        <w:rPr>
          <w:b w:val="0"/>
          <w:bCs/>
        </w:rPr>
        <w:t>405</w:t>
      </w:r>
      <w:r w:rsidRPr="00085860">
        <w:rPr>
          <w:b w:val="0"/>
          <w:bCs/>
        </w:rPr>
        <w:t>/</w:t>
      </w:r>
      <w:r>
        <w:rPr>
          <w:b w:val="0"/>
          <w:bCs/>
        </w:rPr>
        <w:t>Z</w:t>
      </w:r>
      <w:r w:rsidRPr="00085860">
        <w:rPr>
          <w:b w:val="0"/>
          <w:bCs/>
        </w:rPr>
        <w:t>K/22,</w:t>
      </w:r>
    </w:p>
    <w:p w14:paraId="77E97FC6" w14:textId="77777777" w:rsidR="00B15D1D" w:rsidRPr="00085860" w:rsidRDefault="00B15D1D" w:rsidP="00085860">
      <w:pPr>
        <w:pStyle w:val="KUJKnormal"/>
        <w:ind w:left="284" w:hanging="284"/>
        <w:rPr>
          <w:bCs/>
        </w:rPr>
      </w:pPr>
      <w:r w:rsidRPr="00085860">
        <w:rPr>
          <w:bCs/>
        </w:rPr>
        <w:t>4.</w:t>
      </w:r>
      <w:r w:rsidRPr="00085860">
        <w:rPr>
          <w:bCs/>
          <w:color w:val="FF0000"/>
        </w:rPr>
        <w:t xml:space="preserve"> </w:t>
      </w:r>
      <w:r w:rsidRPr="00085860">
        <w:rPr>
          <w:bCs/>
        </w:rPr>
        <w:t xml:space="preserve">financování nezpůsobilých výdajů projektu ve výši 45 650 045,00 Kč vč. DPH s čerpáním na základě Formuláře evropského projektu dle přílohy č. 1 návrhu č. </w:t>
      </w:r>
      <w:r>
        <w:rPr>
          <w:bCs/>
        </w:rPr>
        <w:t>405</w:t>
      </w:r>
      <w:r w:rsidRPr="00085860">
        <w:rPr>
          <w:bCs/>
        </w:rPr>
        <w:t>/</w:t>
      </w:r>
      <w:r>
        <w:rPr>
          <w:bCs/>
        </w:rPr>
        <w:t>Z</w:t>
      </w:r>
      <w:r w:rsidRPr="00085860">
        <w:rPr>
          <w:bCs/>
        </w:rPr>
        <w:t>K/22;</w:t>
      </w:r>
    </w:p>
    <w:p w14:paraId="53D7CE2D" w14:textId="77777777" w:rsidR="00B15D1D" w:rsidRDefault="00B15D1D" w:rsidP="00B15D1D">
      <w:pPr>
        <w:pStyle w:val="KUJKdoplnek2"/>
        <w:numPr>
          <w:ilvl w:val="1"/>
          <w:numId w:val="11"/>
        </w:numPr>
      </w:pPr>
      <w:r w:rsidRPr="0021676C">
        <w:t>ukládá</w:t>
      </w:r>
    </w:p>
    <w:p w14:paraId="190D76BB" w14:textId="77777777" w:rsidR="00B15D1D" w:rsidRDefault="00B15D1D" w:rsidP="00696E73">
      <w:pPr>
        <w:pStyle w:val="KUJKnormal"/>
        <w:rPr>
          <w:bCs/>
        </w:rPr>
      </w:pPr>
      <w:r>
        <w:rPr>
          <w:bCs/>
        </w:rPr>
        <w:t>JUDr. Lukáši Glaserovi, řediteli krajského úřadu, zajistit realizaci uvedeného usnesení.</w:t>
      </w:r>
    </w:p>
    <w:p w14:paraId="3490AA5E" w14:textId="77777777" w:rsidR="00B15D1D" w:rsidRDefault="00B15D1D" w:rsidP="00696E73">
      <w:pPr>
        <w:pStyle w:val="KUJKnormal"/>
      </w:pPr>
      <w:r>
        <w:rPr>
          <w:bCs/>
        </w:rPr>
        <w:t>T: 31.12.2023</w:t>
      </w:r>
    </w:p>
    <w:p w14:paraId="2CE4A819" w14:textId="77777777" w:rsidR="00B15D1D" w:rsidRDefault="00B15D1D" w:rsidP="00696E73">
      <w:pPr>
        <w:pStyle w:val="KUJKnormal"/>
      </w:pPr>
    </w:p>
    <w:p w14:paraId="5B1199A7" w14:textId="77777777" w:rsidR="00B15D1D" w:rsidRDefault="00B15D1D" w:rsidP="00696E73">
      <w:pPr>
        <w:pStyle w:val="KUJKnormal"/>
      </w:pPr>
    </w:p>
    <w:p w14:paraId="4D407BF3" w14:textId="77777777" w:rsidR="00B15D1D" w:rsidRDefault="00B15D1D" w:rsidP="00085860">
      <w:pPr>
        <w:pStyle w:val="KUJKmezeraDZ"/>
      </w:pPr>
      <w:bookmarkStart w:id="1" w:name="US_DuvodZprava"/>
      <w:bookmarkEnd w:id="1"/>
    </w:p>
    <w:p w14:paraId="3DE002C7" w14:textId="77777777" w:rsidR="00B15D1D" w:rsidRDefault="00B15D1D" w:rsidP="00085860">
      <w:pPr>
        <w:pStyle w:val="KUJKnadpisDZ"/>
      </w:pPr>
      <w:r>
        <w:t>DŮVODOVÁ ZPRÁVA</w:t>
      </w:r>
    </w:p>
    <w:p w14:paraId="55D75C8A" w14:textId="77777777" w:rsidR="00B15D1D" w:rsidRPr="009B7B0B" w:rsidRDefault="00B15D1D" w:rsidP="00085860">
      <w:pPr>
        <w:pStyle w:val="KUJKmezeraDZ"/>
      </w:pPr>
    </w:p>
    <w:p w14:paraId="42060894" w14:textId="77777777" w:rsidR="00B15D1D" w:rsidRDefault="00B15D1D" w:rsidP="004B40B0">
      <w:pPr>
        <w:pStyle w:val="KUJKnormal"/>
      </w:pPr>
      <w:r>
        <w:rPr>
          <w:rFonts w:eastAsia="Times New Roman"/>
        </w:rPr>
        <w:t xml:space="preserve">Jihočeský kraj prostřednictvím ODSH předložil projektovou žádost do 35. výzvy IROP 2021-2027 ihned po vypsání výzvy dne 11. 10. 2022. Jedná se o výzvu v rámci SC </w:t>
      </w:r>
      <w:r>
        <w:t>6.1 Podpora udržitelné multimodální městské mobility v rámci přechodu na uhlíkově neutrální hospodářství, aktivita Infrastruktura pro cyklistickou dopravu.</w:t>
      </w:r>
    </w:p>
    <w:p w14:paraId="7C83E590" w14:textId="77777777" w:rsidR="00B15D1D" w:rsidRDefault="00B15D1D" w:rsidP="004B40B0">
      <w:pPr>
        <w:pStyle w:val="KUJKnormal"/>
        <w:rPr>
          <w:rFonts w:eastAsia="Times New Roman"/>
        </w:rPr>
      </w:pPr>
    </w:p>
    <w:p w14:paraId="6B0AB04F" w14:textId="77777777" w:rsidR="00B15D1D" w:rsidRDefault="00B15D1D" w:rsidP="004B40B0">
      <w:pPr>
        <w:jc w:val="both"/>
        <w:rPr>
          <w:rFonts w:ascii="Arial" w:hAnsi="Arial" w:cs="Arial"/>
          <w:sz w:val="20"/>
          <w:szCs w:val="20"/>
        </w:rPr>
      </w:pPr>
      <w:r>
        <w:rPr>
          <w:rFonts w:ascii="Arial" w:hAnsi="Arial"/>
          <w:sz w:val="20"/>
          <w:szCs w:val="28"/>
        </w:rPr>
        <w:t xml:space="preserve">Projekt představuje </w:t>
      </w:r>
      <w:r>
        <w:rPr>
          <w:rFonts w:ascii="Arial" w:hAnsi="Arial" w:cs="Arial"/>
          <w:sz w:val="20"/>
          <w:szCs w:val="20"/>
        </w:rPr>
        <w:t xml:space="preserve">novostavbu </w:t>
      </w:r>
      <w:r>
        <w:rPr>
          <w:rFonts w:ascii="Arial" w:hAnsi="Arial" w:cs="Arial"/>
          <w:color w:val="000000"/>
          <w:sz w:val="20"/>
          <w:szCs w:val="20"/>
        </w:rPr>
        <w:t>cyklostezky s povrchem asfaltobetonovým v celkové délce 2 113,5 m, která je poslední ze tří částí v katastrálním území obce Loučovice mezi sousedními katastry Lipna nad Vltavou a Vyššího Brodu ve směru od lipenské hráze a současně se jedná o úsek tzv. Vltavské cyklostezky Nová Pec – Týn nad Vltavou. Cyklostezka je navržena mezi řekou Vltavou a silnicí II/163. Stezka kopíruje pravý břeh Vltavy, navazuje na akci "Loučovice – cyklostezka podél Vltavy", kde je cyklodoprava vedena po jejím ukončení na MK po této komunikaci a po cca 120 m po přemostění Vltavy před křižovatkou MK a silnice II/163 začíná předmětná etapa cyklostezky. Vedení a umístění tohoto úseku cyklostezky je specifické svým technickým řešením, kdy je z části (cca 1,4 km) vedena v trase železobetonového historického kanálu (elektrárna Spiro). Tento kanál (uložen v zemi) je vyplněn vhodným materiálem a v jeho koruně bude realizována vozovka cyklostezky, ale část (cca 350 m) tohoto kanálu je, jakožto akvadukt z důvodu složitého terénu umístěn na základových pasech a pilířích ve volném vedení a zde má být cementobetonová vozovka cyklostezky umístěna na dno kanálu. Součástí jsou také 2 dřevo ocelové lávky přemosťující původní kamenné koryto náhonu, které je situované vedle železobetonového. Cyklostezka, jakožto dílčí část projektu budoucí souvislé Vltavské cyklostezky nahradí současné řešení cyklodopravy po stávající cyklotrase vedené po místní komunikaci či silnici II/163. Uvedená cyklotrasa je dále ve směru na Vyšší Brod v některých úsecích sjízdná pouze pro horská kola a cyklisté jsou tedy na trase lipenská hráz – Vyšší Brod nuceni využít silnici II/163. Je to třetí etapa cyklostezky v katastrálním území obce Loučovice a spolu s první etapou cyklostezky v katastrálním území města Vyšší Brod, která je také aktuálně zařazena k realizaci, přivede cyklostezku až do Vyššího Brodu. Cyklostezka bude sloužit také pěším, což umožní opět bezpečnější pohyb chodců, běžců, ale také osob se sníženou schopností pohybu či orientace mimo místní komunikaci se smíšeným provozem včetně automobilové dopravy. V sezoně je pohyb cyklistů po silnici II/163 též z důvodu četnosti vozidel, šířkových parametrů a dopravně technického stavu vozovky do jisté míry rizikový. Situace bezbariérového užívání stavby cyklostezky podrobně popisuje prvky pro užívání stavby osobami se sníženou schopností pohybu či orientace.</w:t>
      </w:r>
    </w:p>
    <w:p w14:paraId="141AAF3A" w14:textId="77777777" w:rsidR="00B15D1D" w:rsidRDefault="00B15D1D" w:rsidP="004B40B0">
      <w:pPr>
        <w:jc w:val="both"/>
        <w:rPr>
          <w:rFonts w:ascii="Arial" w:hAnsi="Arial" w:cs="Arial"/>
          <w:sz w:val="20"/>
          <w:szCs w:val="20"/>
        </w:rPr>
      </w:pPr>
    </w:p>
    <w:p w14:paraId="5EC10688" w14:textId="77777777" w:rsidR="00B15D1D" w:rsidRDefault="00B15D1D" w:rsidP="004B40B0">
      <w:pPr>
        <w:pStyle w:val="Zkladntext"/>
        <w:rPr>
          <w:rFonts w:ascii="Arial" w:hAnsi="Arial" w:cs="Arial"/>
          <w:bCs/>
          <w:sz w:val="20"/>
        </w:rPr>
      </w:pPr>
      <w:r>
        <w:rPr>
          <w:rFonts w:ascii="Arial" w:hAnsi="Arial" w:cs="Arial"/>
          <w:sz w:val="20"/>
        </w:rPr>
        <w:t xml:space="preserve">Dle Koncepce rozvoje cyklistiky a cyklodopravy v Jihočeském kraji pro období 2021–2027 jsou základem či „kostrou“ cyklistické sítě kraje takzvané páteřní trasy, jejichž síť je tvořena mimo jiných též Vltavskou cyklistickou cestou. Předmětný projekt navazuje na cyklotrasy 7, 33 Vltavská, která je součástí Vltavské cyklistické cesty a současně je tento projekt jednou z částí trasy aktuálně připravované a realizované Vltavské cyklostezky, jakožto samostatné komunikace pro cyklisty a pěší v rozsahu Nová Pec – Český Krumlov – České Budějovice – Týn nad Vltavou. Vltavská cyklostezka je </w:t>
      </w:r>
      <w:r>
        <w:rPr>
          <w:rFonts w:ascii="Arial" w:hAnsi="Arial" w:cs="Arial"/>
          <w:color w:val="000000"/>
          <w:sz w:val="20"/>
        </w:rPr>
        <w:t>rozsáhlý projekt páteřní cyklostezky nadnárodního významu navazující na EuroVelo 7. Propojuje již nyní několik desítek km hotových cyklostezek a byl schválen rozhodnutím Centrální komise Ministerstva dopravy ze dne 28. 4. 2020.</w:t>
      </w:r>
    </w:p>
    <w:p w14:paraId="2E246DAB" w14:textId="77777777" w:rsidR="00B15D1D" w:rsidRDefault="00B15D1D" w:rsidP="004B40B0">
      <w:pPr>
        <w:jc w:val="both"/>
        <w:rPr>
          <w:rFonts w:ascii="Arial" w:hAnsi="Arial" w:cs="Arial"/>
          <w:sz w:val="20"/>
          <w:szCs w:val="20"/>
          <w:highlight w:val="yellow"/>
        </w:rPr>
      </w:pPr>
    </w:p>
    <w:p w14:paraId="468FFFEE" w14:textId="77777777" w:rsidR="00B15D1D" w:rsidRDefault="00B15D1D" w:rsidP="004B40B0">
      <w:pPr>
        <w:pStyle w:val="KUJKnormal"/>
      </w:pPr>
      <w:r>
        <w:rPr>
          <w:rFonts w:cs="Arial"/>
          <w:bCs/>
          <w:szCs w:val="20"/>
        </w:rPr>
        <w:t xml:space="preserve">Výdaje projektu v celkové výši </w:t>
      </w:r>
      <w:r>
        <w:rPr>
          <w:rFonts w:cs="Arial"/>
          <w:b/>
          <w:szCs w:val="20"/>
        </w:rPr>
        <w:t>95 650 045,00</w:t>
      </w:r>
      <w:r>
        <w:rPr>
          <w:rFonts w:cs="Arial"/>
          <w:bCs/>
          <w:szCs w:val="20"/>
        </w:rPr>
        <w:t xml:space="preserve"> Kč s DPH přestavují částku za stavební práce ve výši </w:t>
      </w:r>
      <w:r>
        <w:rPr>
          <w:rFonts w:cs="Arial"/>
          <w:b/>
          <w:i/>
          <w:iCs/>
          <w:szCs w:val="20"/>
        </w:rPr>
        <w:t>94 300 045,00</w:t>
      </w:r>
      <w:r>
        <w:rPr>
          <w:rFonts w:cs="Arial"/>
          <w:bCs/>
          <w:szCs w:val="20"/>
        </w:rPr>
        <w:t xml:space="preserve"> Kč vč. DPH, částku za výkony technického dozoru stavebníka a koordinátora BOZP ve výši </w:t>
      </w:r>
      <w:r>
        <w:rPr>
          <w:rFonts w:cs="Arial"/>
          <w:b/>
          <w:i/>
          <w:iCs/>
          <w:szCs w:val="20"/>
        </w:rPr>
        <w:t>700 000,00</w:t>
      </w:r>
      <w:r>
        <w:rPr>
          <w:rFonts w:cs="Arial"/>
          <w:bCs/>
          <w:szCs w:val="20"/>
        </w:rPr>
        <w:t xml:space="preserve"> Kč s DPH, částku za autorský dozor projektanta ve výši </w:t>
      </w:r>
      <w:r>
        <w:rPr>
          <w:rFonts w:cs="Arial"/>
          <w:b/>
          <w:i/>
          <w:iCs/>
          <w:szCs w:val="20"/>
        </w:rPr>
        <w:t>200 000,00</w:t>
      </w:r>
      <w:r>
        <w:rPr>
          <w:rFonts w:cs="Arial"/>
          <w:bCs/>
          <w:szCs w:val="20"/>
        </w:rPr>
        <w:t xml:space="preserve"> Kč s DPH, částky za nájmy, zřízení služebnosti a výkupy pozemků ve výši </w:t>
      </w:r>
      <w:r>
        <w:rPr>
          <w:rFonts w:cs="Arial"/>
          <w:b/>
          <w:i/>
          <w:iCs/>
          <w:szCs w:val="20"/>
        </w:rPr>
        <w:t>450 000,00</w:t>
      </w:r>
      <w:r>
        <w:rPr>
          <w:rFonts w:cs="Arial"/>
          <w:bCs/>
          <w:szCs w:val="20"/>
        </w:rPr>
        <w:t xml:space="preserve"> Kč s DPH. </w:t>
      </w:r>
      <w:r>
        <w:rPr>
          <w:rFonts w:cs="Arial"/>
          <w:b/>
          <w:szCs w:val="20"/>
        </w:rPr>
        <w:t>Všechny částky za výše uvedené výdaje jsou částkami předpokládanými. Skutečné částky budou známy po realizaci zadávacích řízení nejpozději v březnu příštího roku.</w:t>
      </w:r>
      <w:r>
        <w:rPr>
          <w:rFonts w:cs="Arial"/>
          <w:bCs/>
          <w:szCs w:val="20"/>
        </w:rPr>
        <w:t xml:space="preserve"> Nezpůsobilé výdaje v celkové výši </w:t>
      </w:r>
      <w:r>
        <w:rPr>
          <w:rFonts w:cs="Arial"/>
          <w:b/>
          <w:i/>
          <w:iCs/>
          <w:szCs w:val="20"/>
        </w:rPr>
        <w:t>45 650 045</w:t>
      </w:r>
      <w:r>
        <w:rPr>
          <w:rFonts w:cs="Arial"/>
          <w:bCs/>
          <w:szCs w:val="20"/>
        </w:rPr>
        <w:t xml:space="preserve"> Kč s DPH představují výdaje přesahující maximální výši celkových způsobilých výdajů na projekt dle 35. výzvy IROP 2021-2027 (50 000 000,00 Kč).</w:t>
      </w:r>
    </w:p>
    <w:p w14:paraId="1D5A19E4" w14:textId="77777777" w:rsidR="00B15D1D" w:rsidRDefault="00B15D1D" w:rsidP="00696E73">
      <w:pPr>
        <w:pStyle w:val="KUJKnormal"/>
      </w:pPr>
    </w:p>
    <w:p w14:paraId="249FFDCC" w14:textId="77777777" w:rsidR="00B15D1D" w:rsidRDefault="00B15D1D" w:rsidP="00696E73">
      <w:pPr>
        <w:pStyle w:val="KUJKnormal"/>
      </w:pPr>
      <w:r>
        <w:t>Tento materiál byl projednán a schválen v radě kraje dne 27. 10. 2022 pod č. usnesení 1116</w:t>
      </w:r>
      <w:r>
        <w:rPr>
          <w:bCs/>
        </w:rPr>
        <w:t>/2022/RK-52</w:t>
      </w:r>
      <w:r>
        <w:t>.</w:t>
      </w:r>
    </w:p>
    <w:p w14:paraId="28D836E7" w14:textId="77777777" w:rsidR="00B15D1D" w:rsidRDefault="00B15D1D" w:rsidP="00696E73">
      <w:pPr>
        <w:pStyle w:val="KUJKnormal"/>
      </w:pPr>
    </w:p>
    <w:p w14:paraId="09BF13D0" w14:textId="77777777" w:rsidR="00B15D1D" w:rsidRDefault="00B15D1D" w:rsidP="00696E73">
      <w:pPr>
        <w:pStyle w:val="KUJKnormal"/>
      </w:pPr>
    </w:p>
    <w:p w14:paraId="0267C884" w14:textId="77777777" w:rsidR="00B15D1D" w:rsidRDefault="00B15D1D" w:rsidP="004B40B0">
      <w:pPr>
        <w:pStyle w:val="KUJKnormal"/>
        <w:ind w:left="2410" w:hanging="2410"/>
      </w:pPr>
      <w:r>
        <w:t xml:space="preserve">Finanční nároky a krytí: Celkové výdaje projektu činí </w:t>
      </w:r>
      <w:r>
        <w:rPr>
          <w:b/>
        </w:rPr>
        <w:t>95 650 045,00</w:t>
      </w:r>
      <w:r>
        <w:t xml:space="preserve"> Kč (bude poskytnuta z ORJ 20 – Strukturální fondy EU)</w:t>
      </w:r>
    </w:p>
    <w:p w14:paraId="62841B09" w14:textId="77777777" w:rsidR="00B15D1D" w:rsidRDefault="00B15D1D" w:rsidP="004B40B0">
      <w:pPr>
        <w:pStyle w:val="KUJKnormal"/>
        <w:ind w:left="2410"/>
        <w:rPr>
          <w:szCs w:val="20"/>
        </w:rPr>
      </w:pPr>
      <w:r>
        <w:t>z toho:</w:t>
      </w:r>
    </w:p>
    <w:p w14:paraId="010E1320" w14:textId="77777777" w:rsidR="00B15D1D" w:rsidRDefault="00B15D1D" w:rsidP="004B40B0">
      <w:pPr>
        <w:pStyle w:val="KUJKnormal"/>
        <w:ind w:left="2977"/>
      </w:pPr>
      <w:r>
        <w:t xml:space="preserve">- částka způsobilých výdajů ve výši </w:t>
      </w:r>
      <w:r>
        <w:rPr>
          <w:b/>
        </w:rPr>
        <w:t xml:space="preserve">50 000 000,00 </w:t>
      </w:r>
      <w:r>
        <w:t>Kč, z toho:</w:t>
      </w:r>
    </w:p>
    <w:p w14:paraId="1400577E" w14:textId="77777777" w:rsidR="00B15D1D" w:rsidRDefault="00B15D1D" w:rsidP="004B40B0">
      <w:pPr>
        <w:pStyle w:val="KUJKnormal"/>
        <w:ind w:left="2977"/>
      </w:pPr>
      <w:r>
        <w:t xml:space="preserve">- 15% kofinancování </w:t>
      </w:r>
      <w:r>
        <w:rPr>
          <w:b/>
        </w:rPr>
        <w:t xml:space="preserve">7 500 000,00 </w:t>
      </w:r>
      <w:r>
        <w:t>Kč,</w:t>
      </w:r>
    </w:p>
    <w:p w14:paraId="6C293E56" w14:textId="77777777" w:rsidR="00B15D1D" w:rsidRDefault="00B15D1D" w:rsidP="004B40B0">
      <w:pPr>
        <w:pStyle w:val="KUJKnormal"/>
        <w:ind w:left="2977"/>
      </w:pPr>
      <w:r>
        <w:t xml:space="preserve">- 85% předfinancování </w:t>
      </w:r>
      <w:r>
        <w:rPr>
          <w:b/>
        </w:rPr>
        <w:t>42 500 000,00</w:t>
      </w:r>
      <w:r>
        <w:t xml:space="preserve"> Kč,</w:t>
      </w:r>
    </w:p>
    <w:p w14:paraId="05494C1D" w14:textId="77777777" w:rsidR="00B15D1D" w:rsidRDefault="00B15D1D" w:rsidP="004B40B0">
      <w:pPr>
        <w:pStyle w:val="KUJKnormal"/>
        <w:ind w:left="2977"/>
      </w:pPr>
      <w:r>
        <w:t xml:space="preserve">- částka nezpůsobilých výdajů ve výši </w:t>
      </w:r>
      <w:r>
        <w:rPr>
          <w:b/>
        </w:rPr>
        <w:t xml:space="preserve">45 650 045,00 </w:t>
      </w:r>
      <w:r>
        <w:t>Kč.</w:t>
      </w:r>
    </w:p>
    <w:p w14:paraId="67F9AEC1" w14:textId="77777777" w:rsidR="00B15D1D" w:rsidRDefault="00B15D1D" w:rsidP="00696E73">
      <w:pPr>
        <w:pStyle w:val="KUJKnormal"/>
      </w:pPr>
    </w:p>
    <w:p w14:paraId="70B2011F" w14:textId="77777777" w:rsidR="00B15D1D" w:rsidRDefault="00B15D1D" w:rsidP="00696E73">
      <w:pPr>
        <w:pStyle w:val="KUJKnormal"/>
      </w:pPr>
    </w:p>
    <w:p w14:paraId="77E1E863" w14:textId="77777777" w:rsidR="00B15D1D" w:rsidRDefault="00B15D1D" w:rsidP="00DE7628">
      <w:pPr>
        <w:pStyle w:val="KUJKnormal"/>
      </w:pPr>
      <w:r>
        <w:t>Vyjádření správce rozpočtu:</w:t>
      </w:r>
      <w:r w:rsidRPr="00DE7628">
        <w:t xml:space="preserve"> </w:t>
      </w:r>
      <w:r>
        <w:t>Ing. Michaela Zárubová (OEKO):</w:t>
      </w:r>
      <w:r w:rsidRPr="007666AA">
        <w:t xml:space="preserve"> </w:t>
      </w:r>
      <w:r>
        <w:t xml:space="preserve"> Souhlasím</w:t>
      </w:r>
      <w:r w:rsidRPr="007666AA">
        <w:t xml:space="preserve"> - </w:t>
      </w:r>
      <w:r>
        <w:t xml:space="preserve"> z hlediska rozpočtového krytí. Požadované finanční prostředky jsou součástí návrhu rozpočtu na rok 2023.</w:t>
      </w:r>
    </w:p>
    <w:p w14:paraId="309D0DFC" w14:textId="77777777" w:rsidR="00B15D1D" w:rsidRDefault="00B15D1D" w:rsidP="00696E73">
      <w:pPr>
        <w:pStyle w:val="KUJKnormal"/>
      </w:pPr>
    </w:p>
    <w:p w14:paraId="142E454E" w14:textId="77777777" w:rsidR="00B15D1D" w:rsidRDefault="00B15D1D" w:rsidP="00696E73">
      <w:pPr>
        <w:pStyle w:val="KUJKnormal"/>
      </w:pPr>
    </w:p>
    <w:p w14:paraId="4E25831F" w14:textId="77777777" w:rsidR="00B15D1D" w:rsidRDefault="00B15D1D" w:rsidP="00696E73">
      <w:pPr>
        <w:pStyle w:val="KUJKnormal"/>
      </w:pPr>
      <w:r>
        <w:t>Návrh projednán (stanoviska):</w:t>
      </w:r>
    </w:p>
    <w:p w14:paraId="10242889" w14:textId="77777777" w:rsidR="00B15D1D" w:rsidRDefault="00B15D1D" w:rsidP="00696E73">
      <w:pPr>
        <w:pStyle w:val="KUJKnormal"/>
      </w:pPr>
    </w:p>
    <w:p w14:paraId="5633D54D" w14:textId="77777777" w:rsidR="00B15D1D" w:rsidRDefault="00B15D1D" w:rsidP="00696E73">
      <w:pPr>
        <w:pStyle w:val="KUJKnormal"/>
      </w:pPr>
    </w:p>
    <w:p w14:paraId="1D8ADA65" w14:textId="77777777" w:rsidR="00B15D1D" w:rsidRPr="007939A8" w:rsidRDefault="00B15D1D" w:rsidP="00696E73">
      <w:pPr>
        <w:pStyle w:val="KUJKtucny"/>
      </w:pPr>
      <w:r w:rsidRPr="007939A8">
        <w:t>PŘÍLOHY:</w:t>
      </w:r>
    </w:p>
    <w:p w14:paraId="72E90BFC" w14:textId="77777777" w:rsidR="00B15D1D" w:rsidRPr="00B52AA9" w:rsidRDefault="00B15D1D" w:rsidP="00834381">
      <w:pPr>
        <w:pStyle w:val="KUJKcislovany"/>
      </w:pPr>
      <w:r>
        <w:t xml:space="preserve">Formulář evropského projektu </w:t>
      </w:r>
      <w:r w:rsidRPr="0081756D">
        <w:t xml:space="preserve"> (</w:t>
      </w:r>
      <w:r>
        <w:t>Př. 1_financování_cyklo Loučovice náhon.xls</w:t>
      </w:r>
      <w:r w:rsidRPr="0081756D">
        <w:t>)</w:t>
      </w:r>
    </w:p>
    <w:p w14:paraId="717DC4B2" w14:textId="77777777" w:rsidR="00B15D1D" w:rsidRDefault="00B15D1D" w:rsidP="00696E73">
      <w:pPr>
        <w:pStyle w:val="KUJKnormal"/>
      </w:pPr>
    </w:p>
    <w:p w14:paraId="00EFCE23" w14:textId="77777777" w:rsidR="00B15D1D" w:rsidRDefault="00B15D1D" w:rsidP="00696E73">
      <w:pPr>
        <w:pStyle w:val="KUJKnormal"/>
      </w:pPr>
    </w:p>
    <w:p w14:paraId="0AC3D6BB" w14:textId="77777777" w:rsidR="00B15D1D" w:rsidRPr="004B40B0" w:rsidRDefault="00B15D1D" w:rsidP="00696E73">
      <w:pPr>
        <w:pStyle w:val="KUJKtucny"/>
        <w:rPr>
          <w:b w:val="0"/>
        </w:rPr>
      </w:pPr>
      <w:r w:rsidRPr="007C1EE7">
        <w:t>Zodpovídá:</w:t>
      </w:r>
      <w:r>
        <w:t xml:space="preserve"> </w:t>
      </w:r>
      <w:r w:rsidRPr="004B40B0">
        <w:rPr>
          <w:b w:val="0"/>
        </w:rPr>
        <w:t>vedoucí ODSH – JUDr. Andrea Tetourová</w:t>
      </w:r>
    </w:p>
    <w:p w14:paraId="16117863" w14:textId="77777777" w:rsidR="00B15D1D" w:rsidRPr="004B40B0" w:rsidRDefault="00B15D1D" w:rsidP="00696E73">
      <w:pPr>
        <w:pStyle w:val="KUJKnormal"/>
      </w:pPr>
    </w:p>
    <w:p w14:paraId="374432A3" w14:textId="77777777" w:rsidR="00B15D1D" w:rsidRDefault="00B15D1D" w:rsidP="00696E73">
      <w:pPr>
        <w:pStyle w:val="KUJKnormal"/>
      </w:pPr>
      <w:r>
        <w:t>Termín kontroly: 5. 1. 2024</w:t>
      </w:r>
    </w:p>
    <w:p w14:paraId="4E57700B" w14:textId="77777777" w:rsidR="00B15D1D" w:rsidRDefault="00B15D1D" w:rsidP="0027044E">
      <w:pPr>
        <w:pStyle w:val="KUJKnormal"/>
      </w:pPr>
      <w:r>
        <w:t>Termín splnění:  31. 12. 2023</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A09E" w14:textId="77777777" w:rsidR="00B15D1D" w:rsidRDefault="00B15D1D" w:rsidP="00B15D1D">
    <w:r>
      <w:rPr>
        <w:noProof/>
      </w:rPr>
      <w:pict w14:anchorId="2BCB0C8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FA73098" w14:textId="77777777" w:rsidR="00B15D1D" w:rsidRPr="005F485E" w:rsidRDefault="00B15D1D" w:rsidP="00B15D1D">
                <w:pPr>
                  <w:spacing w:after="60"/>
                  <w:rPr>
                    <w:rFonts w:ascii="Arial" w:hAnsi="Arial" w:cs="Arial"/>
                    <w:b/>
                    <w:sz w:val="22"/>
                  </w:rPr>
                </w:pPr>
                <w:r w:rsidRPr="005F485E">
                  <w:rPr>
                    <w:rFonts w:ascii="Arial" w:hAnsi="Arial" w:cs="Arial"/>
                    <w:b/>
                    <w:sz w:val="22"/>
                  </w:rPr>
                  <w:t>ZASTUPITELSTVO JIHOČESKÉHO KRAJE</w:t>
                </w:r>
              </w:p>
              <w:p w14:paraId="3C00061E" w14:textId="77777777" w:rsidR="00B15D1D" w:rsidRPr="005F485E" w:rsidRDefault="00B15D1D" w:rsidP="00B15D1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7ACF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1588B49" w14:textId="77777777" w:rsidR="00B15D1D" w:rsidRDefault="00B15D1D" w:rsidP="00B15D1D">
    <w:r>
      <w:pict w14:anchorId="322AD12B">
        <v:rect id="_x0000_i1026" style="width:481.9pt;height:2pt" o:hralign="center" o:hrstd="t" o:hrnoshade="t" o:hr="t" fillcolor="black" stroked="f"/>
      </w:pict>
    </w:r>
  </w:p>
  <w:p w14:paraId="756DA84D" w14:textId="77777777" w:rsidR="00B15D1D" w:rsidRPr="00B15D1D" w:rsidRDefault="00B15D1D" w:rsidP="00B15D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5965617">
    <w:abstractNumId w:val="1"/>
  </w:num>
  <w:num w:numId="2" w16cid:durableId="464398455">
    <w:abstractNumId w:val="2"/>
  </w:num>
  <w:num w:numId="3" w16cid:durableId="645933353">
    <w:abstractNumId w:val="9"/>
  </w:num>
  <w:num w:numId="4" w16cid:durableId="1891070723">
    <w:abstractNumId w:val="7"/>
  </w:num>
  <w:num w:numId="5" w16cid:durableId="1257860514">
    <w:abstractNumId w:val="0"/>
  </w:num>
  <w:num w:numId="6" w16cid:durableId="1007175766">
    <w:abstractNumId w:val="3"/>
  </w:num>
  <w:num w:numId="7" w16cid:durableId="740714029">
    <w:abstractNumId w:val="6"/>
  </w:num>
  <w:num w:numId="8" w16cid:durableId="1836871477">
    <w:abstractNumId w:val="4"/>
  </w:num>
  <w:num w:numId="9" w16cid:durableId="1267233502">
    <w:abstractNumId w:val="5"/>
  </w:num>
  <w:num w:numId="10" w16cid:durableId="681467416">
    <w:abstractNumId w:val="8"/>
  </w:num>
  <w:num w:numId="11" w16cid:durableId="68307559">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5D1D"/>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
    <w:name w:val="Body Text"/>
    <w:basedOn w:val="Normln"/>
    <w:link w:val="ZkladntextChar"/>
    <w:unhideWhenUsed/>
    <w:rsid w:val="00B15D1D"/>
    <w:pPr>
      <w:jc w:val="both"/>
    </w:pPr>
    <w:rPr>
      <w:rFonts w:eastAsia="Times New Roman"/>
      <w:sz w:val="24"/>
      <w:szCs w:val="20"/>
      <w:lang w:eastAsia="cs-CZ"/>
    </w:rPr>
  </w:style>
  <w:style w:type="character" w:customStyle="1" w:styleId="ZkladntextChar">
    <w:name w:val="Základní text Char"/>
    <w:basedOn w:val="Standardnpsmoodstavce"/>
    <w:link w:val="Zkladntext"/>
    <w:rsid w:val="00B15D1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5627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2022-11-11T11:49:00Z</dcterms:created>
  <dcterms:modified xsi:type="dcterms:W3CDTF">2022-11-11T11:49:00Z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6165841</vt:i4>
  </property>
  <property fmtid="{D5CDD505-2E9C-101B-9397-08002B2CF9AE}" pid="4" name="UlozitJako">
    <vt:lpwstr>C:\Users\mrazkova\AppData\Local\Temp\iU23054140\Zastupitelstvo\2022-11-10\Navrhy\405-ZK-22.</vt:lpwstr>
  </property>
  <property fmtid="{D5CDD505-2E9C-101B-9397-08002B2CF9AE}" pid="5" name="Zpracovat">
    <vt:bool>false</vt:bool>
  </property>
</Properties>
</file>