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92B73" w14:paraId="4871BB48" w14:textId="77777777" w:rsidTr="007E1358">
        <w:trPr>
          <w:trHeight w:hRule="exact" w:val="397"/>
        </w:trPr>
        <w:tc>
          <w:tcPr>
            <w:tcW w:w="2376" w:type="dxa"/>
            <w:hideMark/>
          </w:tcPr>
          <w:p w14:paraId="17FCC1D2" w14:textId="77777777" w:rsidR="00292B73" w:rsidRDefault="00292B7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6A44A30" w14:textId="77777777" w:rsidR="00292B73" w:rsidRDefault="00292B73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77BEF66A" w14:textId="77777777" w:rsidR="00292B73" w:rsidRDefault="00292B7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003EAF" w14:textId="77777777" w:rsidR="00292B73" w:rsidRDefault="00292B73" w:rsidP="00970720">
            <w:pPr>
              <w:pStyle w:val="KUJKnormal"/>
            </w:pPr>
          </w:p>
        </w:tc>
      </w:tr>
      <w:tr w:rsidR="00292B73" w14:paraId="2BA21037" w14:textId="77777777" w:rsidTr="007E1358">
        <w:trPr>
          <w:cantSplit/>
          <w:trHeight w:hRule="exact" w:val="397"/>
        </w:trPr>
        <w:tc>
          <w:tcPr>
            <w:tcW w:w="2376" w:type="dxa"/>
            <w:hideMark/>
          </w:tcPr>
          <w:p w14:paraId="4E2A8ECC" w14:textId="77777777" w:rsidR="00292B73" w:rsidRDefault="00292B7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B5198D" w14:textId="77777777" w:rsidR="00292B73" w:rsidRDefault="00292B73" w:rsidP="00970720">
            <w:pPr>
              <w:pStyle w:val="KUJKnormal"/>
            </w:pPr>
            <w:r>
              <w:t>376/ZK/22</w:t>
            </w:r>
          </w:p>
        </w:tc>
      </w:tr>
      <w:tr w:rsidR="00292B73" w14:paraId="554F91ED" w14:textId="77777777" w:rsidTr="007E1358">
        <w:trPr>
          <w:trHeight w:val="397"/>
        </w:trPr>
        <w:tc>
          <w:tcPr>
            <w:tcW w:w="2376" w:type="dxa"/>
          </w:tcPr>
          <w:p w14:paraId="0354C73B" w14:textId="77777777" w:rsidR="00292B73" w:rsidRDefault="00292B73" w:rsidP="00970720"/>
          <w:p w14:paraId="666BCD37" w14:textId="77777777" w:rsidR="00292B73" w:rsidRDefault="00292B7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ACAC52" w14:textId="77777777" w:rsidR="00292B73" w:rsidRDefault="00292B73" w:rsidP="00970720"/>
          <w:p w14:paraId="0B5BA181" w14:textId="77777777" w:rsidR="00292B73" w:rsidRDefault="00292B7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3 SM/115/ZK „Směrnice pro přípravu a realizaci evropských projektů“ – příloha č. 7 Tabulka krajské predikce kurzu EUR/Kč</w:t>
            </w:r>
          </w:p>
        </w:tc>
      </w:tr>
    </w:tbl>
    <w:p w14:paraId="689E168C" w14:textId="77777777" w:rsidR="00292B73" w:rsidRDefault="00292B73" w:rsidP="007E1358">
      <w:pPr>
        <w:pStyle w:val="KUJKnormal"/>
        <w:rPr>
          <w:b/>
          <w:bCs/>
        </w:rPr>
      </w:pPr>
      <w:r>
        <w:rPr>
          <w:b/>
          <w:bCs/>
        </w:rPr>
        <w:pict w14:anchorId="328E4BC0">
          <v:rect id="_x0000_i1029" style="width:453.6pt;height:1.5pt" o:hralign="center" o:hrstd="t" o:hrnoshade="t" o:hr="t" fillcolor="black" stroked="f"/>
        </w:pict>
      </w:r>
    </w:p>
    <w:p w14:paraId="13D3F6D1" w14:textId="77777777" w:rsidR="00292B73" w:rsidRDefault="00292B73" w:rsidP="007E1358">
      <w:pPr>
        <w:pStyle w:val="KUJKnormal"/>
      </w:pPr>
    </w:p>
    <w:p w14:paraId="45B0705D" w14:textId="77777777" w:rsidR="00292B73" w:rsidRDefault="00292B73" w:rsidP="007E135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92B73" w14:paraId="406571B3" w14:textId="77777777" w:rsidTr="002559B8">
        <w:trPr>
          <w:trHeight w:val="397"/>
        </w:trPr>
        <w:tc>
          <w:tcPr>
            <w:tcW w:w="2350" w:type="dxa"/>
            <w:hideMark/>
          </w:tcPr>
          <w:p w14:paraId="1CD381B8" w14:textId="77777777" w:rsidR="00292B73" w:rsidRDefault="00292B7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2432D4" w14:textId="77777777" w:rsidR="00292B73" w:rsidRDefault="00292B73" w:rsidP="002559B8">
            <w:pPr>
              <w:pStyle w:val="KUJKnormal"/>
            </w:pPr>
            <w:r>
              <w:t>Pavel Hroch</w:t>
            </w:r>
          </w:p>
          <w:p w14:paraId="7CBED7B0" w14:textId="77777777" w:rsidR="00292B73" w:rsidRDefault="00292B73" w:rsidP="002559B8"/>
        </w:tc>
      </w:tr>
      <w:tr w:rsidR="00292B73" w14:paraId="1E5BA2CD" w14:textId="77777777" w:rsidTr="002559B8">
        <w:trPr>
          <w:trHeight w:val="397"/>
        </w:trPr>
        <w:tc>
          <w:tcPr>
            <w:tcW w:w="2350" w:type="dxa"/>
          </w:tcPr>
          <w:p w14:paraId="0EC7B620" w14:textId="77777777" w:rsidR="00292B73" w:rsidRDefault="00292B73" w:rsidP="002559B8">
            <w:pPr>
              <w:pStyle w:val="KUJKtucny"/>
            </w:pPr>
            <w:r>
              <w:t>Zpracoval:</w:t>
            </w:r>
          </w:p>
          <w:p w14:paraId="1EA291CA" w14:textId="77777777" w:rsidR="00292B73" w:rsidRDefault="00292B73" w:rsidP="002559B8"/>
        </w:tc>
        <w:tc>
          <w:tcPr>
            <w:tcW w:w="6862" w:type="dxa"/>
            <w:hideMark/>
          </w:tcPr>
          <w:p w14:paraId="5DBFB3A5" w14:textId="77777777" w:rsidR="00292B73" w:rsidRDefault="00292B73" w:rsidP="002559B8">
            <w:pPr>
              <w:pStyle w:val="KUJKnormal"/>
            </w:pPr>
            <w:r>
              <w:t>OEZI</w:t>
            </w:r>
          </w:p>
        </w:tc>
      </w:tr>
      <w:tr w:rsidR="00292B73" w14:paraId="069E2877" w14:textId="77777777" w:rsidTr="002559B8">
        <w:trPr>
          <w:trHeight w:val="397"/>
        </w:trPr>
        <w:tc>
          <w:tcPr>
            <w:tcW w:w="2350" w:type="dxa"/>
          </w:tcPr>
          <w:p w14:paraId="3C814E7E" w14:textId="77777777" w:rsidR="00292B73" w:rsidRPr="009715F9" w:rsidRDefault="00292B7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ACFE35" w14:textId="77777777" w:rsidR="00292B73" w:rsidRDefault="00292B73" w:rsidP="002559B8"/>
        </w:tc>
        <w:tc>
          <w:tcPr>
            <w:tcW w:w="6862" w:type="dxa"/>
            <w:hideMark/>
          </w:tcPr>
          <w:p w14:paraId="52A10734" w14:textId="77777777" w:rsidR="00292B73" w:rsidRDefault="00292B73" w:rsidP="002559B8">
            <w:pPr>
              <w:pStyle w:val="KUJKnormal"/>
            </w:pPr>
            <w:r>
              <w:t>Ing. Jan Návara</w:t>
            </w:r>
          </w:p>
        </w:tc>
      </w:tr>
    </w:tbl>
    <w:p w14:paraId="7C831726" w14:textId="77777777" w:rsidR="00292B73" w:rsidRDefault="00292B73" w:rsidP="007E1358">
      <w:pPr>
        <w:pStyle w:val="KUJKnormal"/>
      </w:pPr>
    </w:p>
    <w:p w14:paraId="4C1BF64E" w14:textId="77777777" w:rsidR="00292B73" w:rsidRPr="0052161F" w:rsidRDefault="00292B73" w:rsidP="007E1358">
      <w:pPr>
        <w:pStyle w:val="KUJKtucny"/>
      </w:pPr>
      <w:r w:rsidRPr="0052161F">
        <w:t>NÁVRH USNESENÍ</w:t>
      </w:r>
    </w:p>
    <w:p w14:paraId="67C4DE95" w14:textId="77777777" w:rsidR="00292B73" w:rsidRDefault="00292B73" w:rsidP="007E135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69BE894" w14:textId="77777777" w:rsidR="00292B73" w:rsidRPr="00841DFC" w:rsidRDefault="00292B73" w:rsidP="007E1358">
      <w:pPr>
        <w:pStyle w:val="KUJKPolozka"/>
      </w:pPr>
      <w:r w:rsidRPr="00841DFC">
        <w:t>Zastupitelstvo Jihočeského kraje</w:t>
      </w:r>
    </w:p>
    <w:p w14:paraId="26361F34" w14:textId="77777777" w:rsidR="00292B73" w:rsidRPr="00E10FE7" w:rsidRDefault="00292B73" w:rsidP="00AB4388">
      <w:pPr>
        <w:pStyle w:val="KUJKdoplnek2"/>
      </w:pPr>
      <w:r w:rsidRPr="00AF7BAE">
        <w:t>schvaluje</w:t>
      </w:r>
    </w:p>
    <w:p w14:paraId="0557D287" w14:textId="77777777" w:rsidR="00292B73" w:rsidRPr="00AB4388" w:rsidRDefault="00292B73" w:rsidP="007E1358">
      <w:pPr>
        <w:pStyle w:val="KUJKnormal"/>
        <w:rPr>
          <w:bCs/>
        </w:rPr>
      </w:pPr>
      <w:r w:rsidRPr="00AB4388">
        <w:rPr>
          <w:bCs/>
        </w:rPr>
        <w:t xml:space="preserve">změnu č. 3 SM/115/ZK „Směrnice pro přípravu a realizaci evropských projektů“, a to přílohu č. 7 „Tabulka krajské predikce kurzu Kč/EUR“ dle přílohy č. 1 k návrhu č. </w:t>
      </w:r>
      <w:r>
        <w:rPr>
          <w:bCs/>
        </w:rPr>
        <w:t>376</w:t>
      </w:r>
      <w:r w:rsidRPr="00AB4388">
        <w:rPr>
          <w:bCs/>
        </w:rPr>
        <w:t>/</w:t>
      </w:r>
      <w:r>
        <w:rPr>
          <w:bCs/>
        </w:rPr>
        <w:t>Z</w:t>
      </w:r>
      <w:r w:rsidRPr="00AB4388">
        <w:rPr>
          <w:bCs/>
        </w:rPr>
        <w:t>K/22 s účinností od 1. 12. 2022;</w:t>
      </w:r>
    </w:p>
    <w:p w14:paraId="15344735" w14:textId="77777777" w:rsidR="00292B73" w:rsidRDefault="00292B73" w:rsidP="00C546A5">
      <w:pPr>
        <w:pStyle w:val="KUJKdoplnek2"/>
      </w:pPr>
      <w:r w:rsidRPr="0021676C">
        <w:t>ukládá</w:t>
      </w:r>
    </w:p>
    <w:p w14:paraId="119C7EA5" w14:textId="77777777" w:rsidR="00292B73" w:rsidRDefault="00292B73" w:rsidP="00AB4388">
      <w:pPr>
        <w:pStyle w:val="KUJKnormal"/>
      </w:pPr>
      <w:r>
        <w:t>JUDr. Lukáši Glaserovi, řediteli krajského úřadu, zajistit realizaci části I. usnesení.</w:t>
      </w:r>
    </w:p>
    <w:p w14:paraId="3BB330DF" w14:textId="77777777" w:rsidR="00292B73" w:rsidRDefault="00292B73" w:rsidP="00AB4388">
      <w:pPr>
        <w:pStyle w:val="KUJKnormal"/>
      </w:pPr>
      <w:r>
        <w:t>T: 1. 12. 2022</w:t>
      </w:r>
    </w:p>
    <w:p w14:paraId="6466A5F0" w14:textId="77777777" w:rsidR="00292B73" w:rsidRDefault="00292B73" w:rsidP="00AB4388">
      <w:pPr>
        <w:pStyle w:val="KUJKnormal"/>
      </w:pPr>
    </w:p>
    <w:p w14:paraId="50F8DA9A" w14:textId="77777777" w:rsidR="00292B73" w:rsidRDefault="00292B73" w:rsidP="00AB4388">
      <w:pPr>
        <w:pStyle w:val="KUJKmezeraDZ"/>
      </w:pPr>
      <w:bookmarkStart w:id="1" w:name="US_DuvodZprava"/>
      <w:bookmarkEnd w:id="1"/>
    </w:p>
    <w:p w14:paraId="75E72DCB" w14:textId="77777777" w:rsidR="00292B73" w:rsidRDefault="00292B73" w:rsidP="00AB4388">
      <w:pPr>
        <w:pStyle w:val="KUJKnadpisDZ"/>
      </w:pPr>
      <w:r>
        <w:t>DŮVODOVÁ ZPRÁVA</w:t>
      </w:r>
    </w:p>
    <w:p w14:paraId="40D4BB82" w14:textId="77777777" w:rsidR="00292B73" w:rsidRPr="009B7B0B" w:rsidRDefault="00292B73" w:rsidP="00AB4388">
      <w:pPr>
        <w:pStyle w:val="KUJKmezeraDZ"/>
      </w:pPr>
    </w:p>
    <w:p w14:paraId="3C2A4052" w14:textId="77777777" w:rsidR="00292B73" w:rsidRDefault="00292B73" w:rsidP="004833D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Závazným dokumentem pro postup při přípravě a realizaci evropských projektů spolufinancovaných z rozpočtu Jihočeského kraje je směrnice SM/115/ZK „Směrnice pro přípravu a realizaci evropských projektů“, která je v kompetenci zastupitelstva kraje.</w:t>
      </w:r>
    </w:p>
    <w:p w14:paraId="3BF25851" w14:textId="77777777" w:rsidR="00292B73" w:rsidRDefault="00292B73" w:rsidP="004833D0">
      <w:pPr>
        <w:pStyle w:val="KUJKnormal"/>
      </w:pPr>
      <w:r>
        <w:rPr>
          <w:rFonts w:cs="Arial"/>
          <w:szCs w:val="20"/>
        </w:rPr>
        <w:t>Součástí směrnice je také „Tabulka krajské predikce kurzu EUR/Kč“ (příloha č. 7),</w:t>
      </w:r>
      <w:r>
        <w:t xml:space="preserve"> používaná pro přepočet částek Kč/EUR při schvalování spolufinancování projektů z rozpočtu kraje, které jsou podávány a propláceny v EUR (např. projekty v rámci programů Evropské územní spolupráce). Kurz pro přepočet je použit vždy k předpokládanému roku ukončení a vyúčtování projektu. </w:t>
      </w:r>
    </w:p>
    <w:p w14:paraId="5B32DCB0" w14:textId="77777777" w:rsidR="00292B73" w:rsidRDefault="00292B73" w:rsidP="004833D0">
      <w:pPr>
        <w:pStyle w:val="KUJKnormal"/>
        <w:rPr>
          <w:rFonts w:cs="Arial"/>
          <w:szCs w:val="20"/>
        </w:rPr>
      </w:pPr>
      <w:r>
        <w:t>Predikce kurzu EUR/Kč</w:t>
      </w:r>
      <w:r>
        <w:rPr>
          <w:rFonts w:cs="Arial"/>
          <w:szCs w:val="20"/>
        </w:rPr>
        <w:t xml:space="preserve"> je pravidelně aktualizována ve spolupráci s ekonomickým odborem (OEKO) dle vývoje kurzu Kč na devizových trzích tak, aby se u víceletých mezinárodních projektů realizovaných v měně EUR co nejvíce eliminovalo riziko kurzové ztráty. </w:t>
      </w:r>
    </w:p>
    <w:p w14:paraId="49492DCB" w14:textId="77777777" w:rsidR="00292B73" w:rsidRDefault="00292B73" w:rsidP="004833D0">
      <w:pPr>
        <w:pStyle w:val="KUJKnormal"/>
        <w:rPr>
          <w:rFonts w:cs="Arial"/>
          <w:szCs w:val="20"/>
        </w:rPr>
      </w:pPr>
    </w:p>
    <w:p w14:paraId="176EA721" w14:textId="77777777" w:rsidR="00292B73" w:rsidRDefault="00292B73" w:rsidP="004833D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 současné době platí níže uvedená predikce vývoje kurzu EUR/Kč schválená usnesením zastupitelstva kraje </w:t>
      </w:r>
      <w:r>
        <w:t>č. 361/2019/ZK-24 ze dne 31. 10. 2019:</w:t>
      </w:r>
    </w:p>
    <w:p w14:paraId="0B0E636D" w14:textId="77777777" w:rsidR="00292B73" w:rsidRDefault="00292B73" w:rsidP="004833D0">
      <w:pPr>
        <w:rPr>
          <w:sz w:val="20"/>
          <w:szCs w:val="20"/>
        </w:rPr>
      </w:pPr>
    </w:p>
    <w:tbl>
      <w:tblPr>
        <w:tblW w:w="57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2856"/>
      </w:tblGrid>
      <w:tr w:rsidR="00292B73" w14:paraId="68B8B947" w14:textId="77777777" w:rsidTr="004833D0">
        <w:trPr>
          <w:trHeight w:val="270"/>
          <w:jc w:val="center"/>
        </w:trPr>
        <w:tc>
          <w:tcPr>
            <w:tcW w:w="2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8F62F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podání žádosti o proplacení projektu z fondů EU</w:t>
            </w:r>
          </w:p>
        </w:tc>
        <w:tc>
          <w:tcPr>
            <w:tcW w:w="2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93BA5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Roční průměrný kurz v Kč </w:t>
            </w:r>
          </w:p>
          <w:p w14:paraId="64D20939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1 EUR</w:t>
            </w:r>
          </w:p>
        </w:tc>
      </w:tr>
      <w:tr w:rsidR="00292B73" w14:paraId="293BB5EB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8D660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4E4D7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292B73" w14:paraId="0C5EF75B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B97B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E9DF8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292B73" w14:paraId="7D45F9DE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423BE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C0703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50732EF9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FBC8D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12D4A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6F4F49FA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DE98C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59558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231367C2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5E325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7EEDC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5FA0C0FD" w14:textId="77777777" w:rsidTr="004833D0">
        <w:trPr>
          <w:trHeight w:val="282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3E4A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27B4A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14:paraId="35189476" w14:textId="77777777" w:rsidR="00292B73" w:rsidRDefault="00292B73" w:rsidP="004833D0">
      <w:pPr>
        <w:pStyle w:val="KUJKnormal"/>
        <w:rPr>
          <w:szCs w:val="20"/>
        </w:rPr>
      </w:pPr>
      <w:r>
        <w:rPr>
          <w:rFonts w:cs="Arial"/>
          <w:szCs w:val="20"/>
        </w:rPr>
        <w:t xml:space="preserve">V rámci předložené aktualizace přílohy č. 7 směrnice SM/115/ZK dochází po konzultaci s OEKO k úpravě </w:t>
      </w:r>
      <w:r>
        <w:rPr>
          <w:szCs w:val="20"/>
        </w:rPr>
        <w:t>predikce vývoje kurzu EUR/Kč na roky 2023-2029 dle níže uvedené tabulky (viz také příloha č. 1 tohoto návrhu):</w:t>
      </w:r>
    </w:p>
    <w:tbl>
      <w:tblPr>
        <w:tblW w:w="57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2856"/>
      </w:tblGrid>
      <w:tr w:rsidR="00292B73" w14:paraId="7475B9BB" w14:textId="77777777" w:rsidTr="004833D0">
        <w:trPr>
          <w:trHeight w:val="270"/>
          <w:jc w:val="center"/>
        </w:trPr>
        <w:tc>
          <w:tcPr>
            <w:tcW w:w="2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43196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podání žádosti o proplacení projektu z fondů EU</w:t>
            </w:r>
          </w:p>
        </w:tc>
        <w:tc>
          <w:tcPr>
            <w:tcW w:w="2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EFC3E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Roční průměrný kurz v Kč </w:t>
            </w:r>
          </w:p>
          <w:p w14:paraId="7D4FAB90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1 EUR</w:t>
            </w:r>
          </w:p>
        </w:tc>
      </w:tr>
      <w:tr w:rsidR="00292B73" w14:paraId="24D291A9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3360A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D0841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7C754DEA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D789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B8620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58B2A5EB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B1779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05465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43EC5370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128B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84719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6DCAA299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9C2DB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53D3A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12E24830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CC132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C4725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  <w:tr w:rsidR="00292B73" w14:paraId="0E4D3179" w14:textId="77777777" w:rsidTr="004833D0">
        <w:trPr>
          <w:trHeight w:val="255"/>
          <w:jc w:val="center"/>
        </w:trPr>
        <w:tc>
          <w:tcPr>
            <w:tcW w:w="2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802BA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D5044" w14:textId="77777777" w:rsidR="00292B73" w:rsidRDefault="00292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14:paraId="426FB0AB" w14:textId="77777777" w:rsidR="00292B73" w:rsidRDefault="00292B73" w:rsidP="004833D0">
      <w:pPr>
        <w:pStyle w:val="KUJKnormal"/>
      </w:pPr>
    </w:p>
    <w:p w14:paraId="51D9756C" w14:textId="77777777" w:rsidR="00292B73" w:rsidRDefault="00292B73" w:rsidP="004833D0">
      <w:pPr>
        <w:pStyle w:val="KUJKnormal"/>
        <w:rPr>
          <w:iCs/>
        </w:rPr>
      </w:pPr>
      <w:r>
        <w:t xml:space="preserve">V predikci vývoje kurzu EUR/Kč je navrženo neuvádět kurz v haléřích, nýbrž v celých korunách, a to kvůli odstranění zaokrouhlování a pro zajištění jednoduchého přepočtu. Současně je kurz z důvodu opatrnosti </w:t>
      </w:r>
      <w:r>
        <w:br/>
        <w:t xml:space="preserve">a maximálního snížení rizika kurzové ztráty nastaven níže, než je předpokládaný vývoj. V případě odlišného vývoje dle kurzu </w:t>
      </w:r>
      <w:r>
        <w:rPr>
          <w:iCs/>
        </w:rPr>
        <w:t>devizového trhu vyhlašovaného ČNB</w:t>
      </w:r>
      <w:r>
        <w:t xml:space="preserve"> může dojít na základě rozhodnutí zastupitelstva kraje ke změně predikce na jednotlivé roky, </w:t>
      </w:r>
      <w:r>
        <w:rPr>
          <w:iCs/>
        </w:rPr>
        <w:t>případně může být konkrétní projekt po schválení v orgánech kraje finančně upraven.</w:t>
      </w:r>
    </w:p>
    <w:p w14:paraId="1E7AA041" w14:textId="77777777" w:rsidR="00292B73" w:rsidRDefault="00292B73" w:rsidP="004833D0">
      <w:pPr>
        <w:pStyle w:val="KUJKnormal"/>
        <w:rPr>
          <w:iCs/>
        </w:rPr>
      </w:pPr>
    </w:p>
    <w:p w14:paraId="6162A64B" w14:textId="77777777" w:rsidR="00292B73" w:rsidRDefault="00292B73" w:rsidP="004833D0">
      <w:pPr>
        <w:pStyle w:val="KUJKnormal"/>
        <w:rPr>
          <w:iCs/>
        </w:rPr>
      </w:pPr>
      <w:r>
        <w:rPr>
          <w:iCs/>
        </w:rPr>
        <w:t>Nová predikce vývoje kurzu EUR/Kč bude použita výhradně na nově připravované a realizované projekty, nikoli tedy retrospektivně na běžící nebo ukončované projekty, pro které i nadále platí predikce vývoje kurzu platná k datu, kdy bylo spolufinancování projektu z rozpočtu kraje schváleno zastupitelstvem.</w:t>
      </w:r>
    </w:p>
    <w:p w14:paraId="20926C6E" w14:textId="77777777" w:rsidR="00292B73" w:rsidRDefault="00292B73" w:rsidP="004833D0">
      <w:pPr>
        <w:pStyle w:val="KUJKnormal"/>
        <w:rPr>
          <w:iCs/>
        </w:rPr>
      </w:pPr>
    </w:p>
    <w:p w14:paraId="2C5681FE" w14:textId="77777777" w:rsidR="00292B73" w:rsidRDefault="00292B73" w:rsidP="00C326E0">
      <w:pPr>
        <w:pStyle w:val="KUJKnormal"/>
        <w:rPr>
          <w:iCs/>
        </w:rPr>
      </w:pPr>
      <w:r>
        <w:rPr>
          <w:iCs/>
        </w:rPr>
        <w:t xml:space="preserve">Návrh aktualizace predikce vývoje kurzu EUR/Kč projednala dne 27. 10. 2022 rada kraje, která svým </w:t>
      </w:r>
      <w:r w:rsidRPr="00C87B44">
        <w:rPr>
          <w:iCs/>
        </w:rPr>
        <w:t>usnesením č. 1162/2022/RK-52</w:t>
      </w:r>
      <w:r>
        <w:rPr>
          <w:iCs/>
        </w:rPr>
        <w:t xml:space="preserve"> doporučila zastupitelstvu kraje aktualizaci predikce v navržené podobě schválit.</w:t>
      </w:r>
    </w:p>
    <w:p w14:paraId="0DC5B270" w14:textId="77777777" w:rsidR="00292B73" w:rsidRDefault="00292B73" w:rsidP="00C326E0">
      <w:pPr>
        <w:pStyle w:val="KUJKnormal"/>
      </w:pPr>
    </w:p>
    <w:p w14:paraId="745B18E6" w14:textId="77777777" w:rsidR="00292B73" w:rsidRDefault="00292B73" w:rsidP="00C326E0">
      <w:pPr>
        <w:pStyle w:val="KUJKnormal"/>
      </w:pPr>
      <w:r>
        <w:t>Finanční nároky a krytí: není relevantní</w:t>
      </w:r>
    </w:p>
    <w:p w14:paraId="65D721D1" w14:textId="77777777" w:rsidR="00292B73" w:rsidRDefault="00292B73" w:rsidP="00C326E0">
      <w:pPr>
        <w:pStyle w:val="KUJKnormal"/>
      </w:pPr>
    </w:p>
    <w:p w14:paraId="09394F48" w14:textId="77777777" w:rsidR="00292B73" w:rsidRDefault="00292B73" w:rsidP="004E438A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Souhlasím.</w:t>
      </w:r>
      <w:r w:rsidRPr="007666AA">
        <w:t xml:space="preserve"> </w:t>
      </w:r>
      <w:r>
        <w:t xml:space="preserve"> </w:t>
      </w:r>
    </w:p>
    <w:p w14:paraId="76A33666" w14:textId="77777777" w:rsidR="00292B73" w:rsidRDefault="00292B73" w:rsidP="00C326E0">
      <w:pPr>
        <w:pStyle w:val="KUJKnormal"/>
      </w:pPr>
    </w:p>
    <w:p w14:paraId="6E6ADE90" w14:textId="77777777" w:rsidR="00292B73" w:rsidRDefault="00292B73" w:rsidP="00C326E0">
      <w:pPr>
        <w:pStyle w:val="KUJKnormal"/>
      </w:pPr>
      <w:r>
        <w:t>Návrh projednán -  konzultanti, stanoviska: není relevantní</w:t>
      </w:r>
    </w:p>
    <w:p w14:paraId="14E92FBA" w14:textId="77777777" w:rsidR="00292B73" w:rsidRDefault="00292B73" w:rsidP="00C326E0">
      <w:pPr>
        <w:pStyle w:val="KUJKnormal"/>
      </w:pPr>
    </w:p>
    <w:p w14:paraId="50D8BE52" w14:textId="77777777" w:rsidR="00292B73" w:rsidRDefault="00292B73" w:rsidP="00C326E0">
      <w:pPr>
        <w:pStyle w:val="KUJKtucny"/>
      </w:pPr>
      <w:r>
        <w:t>PŘÍLOHY:</w:t>
      </w:r>
    </w:p>
    <w:p w14:paraId="260A4222" w14:textId="77777777" w:rsidR="00292B73" w:rsidRPr="00B52AA9" w:rsidRDefault="00292B73" w:rsidP="007E644C">
      <w:pPr>
        <w:pStyle w:val="KUJKcislovany"/>
      </w:pPr>
      <w:r>
        <w:t>Příloha č. 1</w:t>
      </w:r>
      <w:r w:rsidRPr="0081756D">
        <w:t xml:space="preserve"> (</w:t>
      </w:r>
      <w:r>
        <w:t>Příloha č. 1 k návrhu č. 376_ZK_22_SM_115_ZK_Příloha_č. 7_Predikce EUR_Kč_aktualizace k 1.12.2022.doc</w:t>
      </w:r>
      <w:r w:rsidRPr="0081756D">
        <w:t>)</w:t>
      </w:r>
    </w:p>
    <w:p w14:paraId="7297CCDE" w14:textId="77777777" w:rsidR="00292B73" w:rsidRDefault="00292B73" w:rsidP="00C326E0">
      <w:pPr>
        <w:pStyle w:val="KUJKtucny"/>
      </w:pPr>
    </w:p>
    <w:p w14:paraId="449B5B88" w14:textId="77777777" w:rsidR="00292B73" w:rsidRDefault="00292B73" w:rsidP="00C326E0">
      <w:pPr>
        <w:pStyle w:val="KUJKtucny"/>
      </w:pPr>
      <w:r>
        <w:t>Zodpovídá: vedoucí OEZI – Ing. Jan Návara</w:t>
      </w:r>
    </w:p>
    <w:p w14:paraId="1713460D" w14:textId="77777777" w:rsidR="00292B73" w:rsidRDefault="00292B73" w:rsidP="00C326E0">
      <w:pPr>
        <w:pStyle w:val="KUJKnormal"/>
      </w:pPr>
    </w:p>
    <w:p w14:paraId="59732BCD" w14:textId="77777777" w:rsidR="00292B73" w:rsidRDefault="00292B73" w:rsidP="00C326E0">
      <w:pPr>
        <w:pStyle w:val="KUJKnormal"/>
      </w:pPr>
      <w:r>
        <w:t>Termín kontroly: 15. 12. 2022</w:t>
      </w:r>
    </w:p>
    <w:p w14:paraId="32643176" w14:textId="77777777" w:rsidR="00292B73" w:rsidRDefault="00292B73" w:rsidP="00C326E0">
      <w:pPr>
        <w:pStyle w:val="KUJKnormal"/>
      </w:pPr>
      <w:r>
        <w:t>Termín splnění: 1. 12. 2022</w:t>
      </w:r>
    </w:p>
    <w:p w14:paraId="48CA5B7A" w14:textId="77777777" w:rsidR="00292B73" w:rsidRDefault="00292B73" w:rsidP="00C326E0">
      <w:pPr>
        <w:pStyle w:val="KUJKnormal"/>
      </w:pPr>
    </w:p>
    <w:p w14:paraId="16242878" w14:textId="77777777" w:rsidR="00292B73" w:rsidRPr="00AB4388" w:rsidRDefault="00292B73" w:rsidP="00AB4388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5BB8" w14:textId="77777777" w:rsidR="00292B73" w:rsidRDefault="00292B73" w:rsidP="00292B73">
    <w:r>
      <w:rPr>
        <w:noProof/>
      </w:rPr>
      <w:pict w14:anchorId="3B9D21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743D068" w14:textId="77777777" w:rsidR="00292B73" w:rsidRPr="005F485E" w:rsidRDefault="00292B73" w:rsidP="00292B7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9ED104" w14:textId="77777777" w:rsidR="00292B73" w:rsidRPr="005F485E" w:rsidRDefault="00292B73" w:rsidP="00292B7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60D3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C9E9396" w14:textId="77777777" w:rsidR="00292B73" w:rsidRDefault="00292B73" w:rsidP="00292B73">
    <w:r>
      <w:pict w14:anchorId="14DA56E2">
        <v:rect id="_x0000_i1026" style="width:481.9pt;height:2pt" o:hralign="center" o:hrstd="t" o:hrnoshade="t" o:hr="t" fillcolor="black" stroked="f"/>
      </w:pict>
    </w:r>
  </w:p>
  <w:p w14:paraId="30911808" w14:textId="77777777" w:rsidR="00292B73" w:rsidRPr="00292B73" w:rsidRDefault="00292B73" w:rsidP="00292B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73002">
    <w:abstractNumId w:val="1"/>
  </w:num>
  <w:num w:numId="2" w16cid:durableId="1788575235">
    <w:abstractNumId w:val="2"/>
  </w:num>
  <w:num w:numId="3" w16cid:durableId="830221653">
    <w:abstractNumId w:val="9"/>
  </w:num>
  <w:num w:numId="4" w16cid:durableId="1659580427">
    <w:abstractNumId w:val="7"/>
  </w:num>
  <w:num w:numId="5" w16cid:durableId="423301414">
    <w:abstractNumId w:val="0"/>
  </w:num>
  <w:num w:numId="6" w16cid:durableId="2022508253">
    <w:abstractNumId w:val="3"/>
  </w:num>
  <w:num w:numId="7" w16cid:durableId="1128626759">
    <w:abstractNumId w:val="6"/>
  </w:num>
  <w:num w:numId="8" w16cid:durableId="876547851">
    <w:abstractNumId w:val="4"/>
  </w:num>
  <w:num w:numId="9" w16cid:durableId="2041392286">
    <w:abstractNumId w:val="5"/>
  </w:num>
  <w:num w:numId="10" w16cid:durableId="539055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2B73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2022-11-11T11:49:00Z</dcterms:created>
  <dcterms:modified xsi:type="dcterms:W3CDTF">2022-11-11T11:49:00Z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6158704</vt:i4>
  </property>
  <property fmtid="{D5CDD505-2E9C-101B-9397-08002B2CF9AE}" pid="4" name="UlozitJako">
    <vt:lpwstr>C:\Users\mrazkova\AppData\Local\Temp\iU23054140\Zastupitelstvo\2022-11-10\Navrhy\376-ZK-22.</vt:lpwstr>
  </property>
  <property fmtid="{D5CDD505-2E9C-101B-9397-08002B2CF9AE}" pid="5" name="Zpracovat">
    <vt:bool>false</vt:bool>
  </property>
</Properties>
</file>