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97294" w14:paraId="6DA49CBC" w14:textId="77777777" w:rsidTr="00A7369E">
        <w:trPr>
          <w:trHeight w:hRule="exact" w:val="397"/>
        </w:trPr>
        <w:tc>
          <w:tcPr>
            <w:tcW w:w="2376" w:type="dxa"/>
            <w:hideMark/>
          </w:tcPr>
          <w:p w14:paraId="66DAAD50" w14:textId="77777777" w:rsidR="00C97294" w:rsidRDefault="00C97294" w:rsidP="00510C30">
            <w:pPr>
              <w:pStyle w:val="KUJKtucny"/>
            </w:pPr>
            <w:r>
              <w:t>Datum jednání:</w:t>
            </w:r>
          </w:p>
        </w:tc>
        <w:tc>
          <w:tcPr>
            <w:tcW w:w="3828" w:type="dxa"/>
            <w:hideMark/>
          </w:tcPr>
          <w:p w14:paraId="6E37B957" w14:textId="77777777" w:rsidR="00C97294" w:rsidRDefault="00C97294" w:rsidP="00510C30">
            <w:pPr>
              <w:pStyle w:val="KUJKnormal"/>
            </w:pPr>
            <w:r>
              <w:t>16. 06. 2022</w:t>
            </w:r>
          </w:p>
        </w:tc>
        <w:tc>
          <w:tcPr>
            <w:tcW w:w="2126" w:type="dxa"/>
            <w:hideMark/>
          </w:tcPr>
          <w:p w14:paraId="6ACE324B" w14:textId="77777777" w:rsidR="00C97294" w:rsidRDefault="00C97294" w:rsidP="00510C30">
            <w:pPr>
              <w:pStyle w:val="KUJKtucny"/>
            </w:pPr>
            <w:r>
              <w:t>Bod programu:</w:t>
            </w:r>
          </w:p>
        </w:tc>
        <w:tc>
          <w:tcPr>
            <w:tcW w:w="850" w:type="dxa"/>
          </w:tcPr>
          <w:p w14:paraId="036C5279" w14:textId="77777777" w:rsidR="00C97294" w:rsidRDefault="00C97294" w:rsidP="00510C30">
            <w:pPr>
              <w:pStyle w:val="KUJKnormal"/>
            </w:pPr>
          </w:p>
        </w:tc>
      </w:tr>
      <w:tr w:rsidR="00C97294" w14:paraId="3CBA8936" w14:textId="77777777" w:rsidTr="00A7369E">
        <w:trPr>
          <w:cantSplit/>
          <w:trHeight w:hRule="exact" w:val="397"/>
        </w:trPr>
        <w:tc>
          <w:tcPr>
            <w:tcW w:w="2376" w:type="dxa"/>
            <w:hideMark/>
          </w:tcPr>
          <w:p w14:paraId="5F1DBBA6" w14:textId="77777777" w:rsidR="00C97294" w:rsidRDefault="00C97294" w:rsidP="00510C30">
            <w:pPr>
              <w:pStyle w:val="KUJKtucny"/>
            </w:pPr>
            <w:r>
              <w:t>Číslo návrhu:</w:t>
            </w:r>
          </w:p>
        </w:tc>
        <w:tc>
          <w:tcPr>
            <w:tcW w:w="6804" w:type="dxa"/>
            <w:gridSpan w:val="3"/>
            <w:hideMark/>
          </w:tcPr>
          <w:p w14:paraId="12B4CA1E" w14:textId="77777777" w:rsidR="00C97294" w:rsidRDefault="00C97294" w:rsidP="00510C30">
            <w:pPr>
              <w:pStyle w:val="KUJKnormal"/>
            </w:pPr>
            <w:r>
              <w:t>255/ZK/22</w:t>
            </w:r>
          </w:p>
        </w:tc>
      </w:tr>
      <w:tr w:rsidR="00C97294" w14:paraId="30C8E0D2" w14:textId="77777777" w:rsidTr="00A7369E">
        <w:trPr>
          <w:trHeight w:val="397"/>
        </w:trPr>
        <w:tc>
          <w:tcPr>
            <w:tcW w:w="2376" w:type="dxa"/>
          </w:tcPr>
          <w:p w14:paraId="5B2EABD1" w14:textId="77777777" w:rsidR="00C97294" w:rsidRDefault="00C97294" w:rsidP="00510C30"/>
          <w:p w14:paraId="28824A8B" w14:textId="77777777" w:rsidR="00C97294" w:rsidRDefault="00C97294" w:rsidP="00510C30">
            <w:pPr>
              <w:pStyle w:val="KUJKtucny"/>
            </w:pPr>
            <w:r>
              <w:t>Název bodu:</w:t>
            </w:r>
          </w:p>
        </w:tc>
        <w:tc>
          <w:tcPr>
            <w:tcW w:w="6804" w:type="dxa"/>
            <w:gridSpan w:val="3"/>
          </w:tcPr>
          <w:p w14:paraId="29727344" w14:textId="77777777" w:rsidR="00C97294" w:rsidRDefault="00C97294" w:rsidP="00510C30"/>
          <w:p w14:paraId="26BCB718" w14:textId="77777777" w:rsidR="00C97294" w:rsidRDefault="00C97294" w:rsidP="00510C30">
            <w:pPr>
              <w:pStyle w:val="KUJKtucny"/>
              <w:rPr>
                <w:sz w:val="22"/>
                <w:szCs w:val="22"/>
              </w:rPr>
            </w:pPr>
            <w:r>
              <w:rPr>
                <w:sz w:val="22"/>
                <w:szCs w:val="22"/>
              </w:rPr>
              <w:t>Zpráva o činnosti Rady Asociace krajů ČR</w:t>
            </w:r>
          </w:p>
        </w:tc>
      </w:tr>
    </w:tbl>
    <w:p w14:paraId="2565AE9C" w14:textId="77777777" w:rsidR="00C97294" w:rsidRDefault="00C97294" w:rsidP="00A7369E">
      <w:pPr>
        <w:pStyle w:val="KUJKnormal"/>
        <w:rPr>
          <w:b/>
          <w:bCs/>
        </w:rPr>
      </w:pPr>
      <w:r>
        <w:rPr>
          <w:b/>
          <w:bCs/>
        </w:rPr>
        <w:pict w14:anchorId="1AB65417">
          <v:rect id="_x0000_i1029" style="width:453.6pt;height:1.5pt" o:hralign="center" o:hrstd="t" o:hrnoshade="t" o:hr="t" fillcolor="black" stroked="f"/>
        </w:pict>
      </w:r>
    </w:p>
    <w:p w14:paraId="48E853BD" w14:textId="77777777" w:rsidR="00C97294" w:rsidRPr="001945CA" w:rsidRDefault="00C97294" w:rsidP="00A7369E">
      <w:pPr>
        <w:rPr>
          <w:sz w:val="20"/>
          <w:szCs w:val="20"/>
        </w:rPr>
      </w:pPr>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97294" w14:paraId="53F9D0F4" w14:textId="77777777" w:rsidTr="00510C30">
        <w:trPr>
          <w:trHeight w:val="397"/>
        </w:trPr>
        <w:tc>
          <w:tcPr>
            <w:tcW w:w="2350" w:type="dxa"/>
            <w:hideMark/>
          </w:tcPr>
          <w:p w14:paraId="13E154ED" w14:textId="77777777" w:rsidR="00C97294" w:rsidRDefault="00C97294" w:rsidP="00510C30">
            <w:pPr>
              <w:pStyle w:val="KUJKtucny"/>
            </w:pPr>
            <w:r>
              <w:t>Předkladatel:</w:t>
            </w:r>
          </w:p>
        </w:tc>
        <w:tc>
          <w:tcPr>
            <w:tcW w:w="6862" w:type="dxa"/>
          </w:tcPr>
          <w:p w14:paraId="4683C4B7" w14:textId="77777777" w:rsidR="00C97294" w:rsidRDefault="00C97294" w:rsidP="00510C30">
            <w:pPr>
              <w:pStyle w:val="KUJKnormal"/>
            </w:pPr>
            <w:r>
              <w:t>MUDr. Martin Kuba</w:t>
            </w:r>
          </w:p>
          <w:p w14:paraId="481E784C" w14:textId="77777777" w:rsidR="00C97294" w:rsidRDefault="00C97294" w:rsidP="00510C30"/>
        </w:tc>
      </w:tr>
      <w:tr w:rsidR="00C97294" w14:paraId="565A5C72" w14:textId="77777777" w:rsidTr="00510C30">
        <w:trPr>
          <w:trHeight w:val="397"/>
        </w:trPr>
        <w:tc>
          <w:tcPr>
            <w:tcW w:w="2350" w:type="dxa"/>
          </w:tcPr>
          <w:p w14:paraId="31D1F636" w14:textId="77777777" w:rsidR="00C97294" w:rsidRDefault="00C97294" w:rsidP="00510C30">
            <w:pPr>
              <w:pStyle w:val="KUJKtucny"/>
            </w:pPr>
            <w:r>
              <w:t>Zpracoval:</w:t>
            </w:r>
          </w:p>
          <w:p w14:paraId="5EDF39BA" w14:textId="77777777" w:rsidR="00C97294" w:rsidRDefault="00C97294" w:rsidP="00510C30"/>
        </w:tc>
        <w:tc>
          <w:tcPr>
            <w:tcW w:w="6862" w:type="dxa"/>
            <w:hideMark/>
          </w:tcPr>
          <w:p w14:paraId="34B672AE" w14:textId="77777777" w:rsidR="00C97294" w:rsidRDefault="00C97294" w:rsidP="00510C30">
            <w:pPr>
              <w:pStyle w:val="KUJKnormal"/>
            </w:pPr>
            <w:r>
              <w:t>KHEJ</w:t>
            </w:r>
          </w:p>
        </w:tc>
      </w:tr>
      <w:tr w:rsidR="00C97294" w14:paraId="76782DE0" w14:textId="77777777" w:rsidTr="00510C30">
        <w:trPr>
          <w:trHeight w:val="397"/>
        </w:trPr>
        <w:tc>
          <w:tcPr>
            <w:tcW w:w="2350" w:type="dxa"/>
          </w:tcPr>
          <w:p w14:paraId="63995615" w14:textId="77777777" w:rsidR="00C97294" w:rsidRPr="009715F9" w:rsidRDefault="00C97294" w:rsidP="00510C30">
            <w:pPr>
              <w:pStyle w:val="KUJKnormal"/>
              <w:rPr>
                <w:b/>
              </w:rPr>
            </w:pPr>
            <w:r w:rsidRPr="009715F9">
              <w:rPr>
                <w:b/>
              </w:rPr>
              <w:t>Vedoucí odboru:</w:t>
            </w:r>
          </w:p>
          <w:p w14:paraId="0C884736" w14:textId="77777777" w:rsidR="00C97294" w:rsidRDefault="00C97294" w:rsidP="00510C30"/>
        </w:tc>
        <w:tc>
          <w:tcPr>
            <w:tcW w:w="6862" w:type="dxa"/>
            <w:hideMark/>
          </w:tcPr>
          <w:p w14:paraId="6320A574" w14:textId="77777777" w:rsidR="00C97294" w:rsidRDefault="00C97294" w:rsidP="00510C30">
            <w:pPr>
              <w:pStyle w:val="KUJKnormal"/>
            </w:pPr>
            <w:r>
              <w:t>Mgr. Petr Podhola</w:t>
            </w:r>
          </w:p>
        </w:tc>
      </w:tr>
    </w:tbl>
    <w:p w14:paraId="7B84E94D" w14:textId="77777777" w:rsidR="00C97294" w:rsidRDefault="00C97294" w:rsidP="00A7369E">
      <w:pPr>
        <w:pStyle w:val="KUJKnormal"/>
      </w:pPr>
    </w:p>
    <w:p w14:paraId="34F723C9" w14:textId="77777777" w:rsidR="00C97294" w:rsidRPr="0052161F" w:rsidRDefault="00C97294" w:rsidP="00A7369E">
      <w:pPr>
        <w:pStyle w:val="KUJKtucny"/>
      </w:pPr>
      <w:r w:rsidRPr="0052161F">
        <w:t>NÁVRH USNESENÍ</w:t>
      </w:r>
    </w:p>
    <w:p w14:paraId="0824B6C1" w14:textId="77777777" w:rsidR="00C97294" w:rsidRDefault="00C97294" w:rsidP="00A7369E">
      <w:pPr>
        <w:pStyle w:val="KUJKnormal"/>
        <w:rPr>
          <w:rFonts w:ascii="Calibri" w:hAnsi="Calibri" w:cs="Calibri"/>
          <w:sz w:val="12"/>
          <w:szCs w:val="12"/>
        </w:rPr>
      </w:pPr>
      <w:bookmarkStart w:id="1" w:name="US_ZaVeVeci"/>
      <w:bookmarkEnd w:id="1"/>
    </w:p>
    <w:p w14:paraId="0383D0B3" w14:textId="77777777" w:rsidR="00C97294" w:rsidRPr="00841DFC" w:rsidRDefault="00C97294" w:rsidP="00A7369E">
      <w:pPr>
        <w:pStyle w:val="KUJKPolozka"/>
      </w:pPr>
      <w:r w:rsidRPr="00841DFC">
        <w:t>Zastupitelstvo Jihočeského kraje</w:t>
      </w:r>
    </w:p>
    <w:p w14:paraId="72EA1A8C" w14:textId="77777777" w:rsidR="00C97294" w:rsidRPr="00006936" w:rsidRDefault="00C97294" w:rsidP="00A7369E">
      <w:pPr>
        <w:pStyle w:val="KUJKnormal"/>
        <w:rPr>
          <w:b/>
          <w:bCs/>
        </w:rPr>
      </w:pPr>
      <w:r w:rsidRPr="00006936">
        <w:rPr>
          <w:b/>
          <w:bCs/>
        </w:rPr>
        <w:t>bere na vědomí</w:t>
      </w:r>
    </w:p>
    <w:p w14:paraId="1A095D8E" w14:textId="77777777" w:rsidR="00C97294" w:rsidRDefault="00C97294" w:rsidP="00A7369E">
      <w:pPr>
        <w:pStyle w:val="KUJKnormal"/>
      </w:pPr>
      <w:r>
        <w:t>informaci o jednáních Rady Asociace krajů ČR.</w:t>
      </w:r>
    </w:p>
    <w:p w14:paraId="7456CB40" w14:textId="77777777" w:rsidR="00C97294" w:rsidRDefault="00C97294" w:rsidP="00A7369E">
      <w:pPr>
        <w:pStyle w:val="KUJKnormal"/>
      </w:pPr>
    </w:p>
    <w:p w14:paraId="40C05F12" w14:textId="77777777" w:rsidR="00C97294" w:rsidRPr="00CB68FD" w:rsidRDefault="00C97294" w:rsidP="00F472DE">
      <w:pPr>
        <w:pStyle w:val="KUJKmezeraDZ"/>
        <w:rPr>
          <w:sz w:val="16"/>
          <w:szCs w:val="16"/>
        </w:rPr>
      </w:pPr>
      <w:bookmarkStart w:id="2" w:name="US_DuvodZprava"/>
      <w:bookmarkEnd w:id="2"/>
    </w:p>
    <w:p w14:paraId="2F0C0317" w14:textId="77777777" w:rsidR="00C97294" w:rsidRDefault="00C97294" w:rsidP="00F472DE">
      <w:pPr>
        <w:pStyle w:val="KUJKnadpisDZ"/>
      </w:pPr>
      <w:r>
        <w:t>DŮVODOVÁ ZPRÁVA</w:t>
      </w:r>
    </w:p>
    <w:p w14:paraId="7ADF631E" w14:textId="77777777" w:rsidR="00C97294" w:rsidRDefault="00C97294" w:rsidP="0045612A">
      <w:pPr>
        <w:pStyle w:val="KUJKnormal"/>
        <w:rPr>
          <w:rFonts w:cs="Arial"/>
        </w:rPr>
      </w:pPr>
      <w:r>
        <w:rPr>
          <w:rFonts w:cs="Arial"/>
        </w:rPr>
        <w:t>Zpráva obsahuje přehled jednání Rady AKČR od uzávěrky materiálů pro poslední zasedání zastupitelstva kraje v květnu do 10. 6. 2022.</w:t>
      </w:r>
    </w:p>
    <w:p w14:paraId="66EA66F7" w14:textId="77777777" w:rsidR="00C97294" w:rsidRDefault="00C97294" w:rsidP="0045612A">
      <w:pPr>
        <w:jc w:val="both"/>
        <w:rPr>
          <w:rFonts w:ascii="Arial" w:hAnsi="Arial"/>
          <w:sz w:val="16"/>
          <w:szCs w:val="16"/>
        </w:rPr>
      </w:pPr>
    </w:p>
    <w:p w14:paraId="497CEF51" w14:textId="77777777" w:rsidR="00C97294" w:rsidRDefault="00C97294" w:rsidP="0045612A">
      <w:pPr>
        <w:jc w:val="both"/>
        <w:rPr>
          <w:rFonts w:ascii="Arial" w:hAnsi="Arial" w:cs="Arial"/>
          <w:sz w:val="20"/>
          <w:szCs w:val="28"/>
        </w:rPr>
      </w:pPr>
      <w:r>
        <w:rPr>
          <w:rFonts w:ascii="Arial" w:hAnsi="Arial" w:cs="Arial"/>
          <w:sz w:val="20"/>
          <w:szCs w:val="28"/>
        </w:rPr>
        <w:t>Pravidelná videokonferenční jednání k uprchlické krizi vyvolané Ruskou invazí na Ukrajinu proběhla ve dnech 10. května, 17. května, 24. května a 31. května. Kromě členů Rady AKČR se jednání pravidelně účastní ministr vnitra Vít Rakušan, generální ředitel GŘ HZS generálmajor Vladimír Vlček, policejní prezident generálmajor Martin Vondrášek a další relevantní představitelé. Předseda Rady AKČR Martin Kuba vždy v krátkosti informoval o závěrech vyplývajících z jednání ÚKŠ, která průběžně probíhají vždy v pondělí před termínem videokonference krajů a jichž se účastní. Jednání dne 31. května se účastnil i ministr školství Petr Gazdík.</w:t>
      </w:r>
    </w:p>
    <w:p w14:paraId="58F5CB3E" w14:textId="77777777" w:rsidR="00C97294" w:rsidRDefault="00C97294" w:rsidP="0045612A">
      <w:pPr>
        <w:jc w:val="both"/>
        <w:rPr>
          <w:rFonts w:ascii="Arial" w:hAnsi="Arial" w:cs="Arial"/>
          <w:sz w:val="16"/>
          <w:szCs w:val="16"/>
        </w:rPr>
      </w:pPr>
    </w:p>
    <w:p w14:paraId="6882FB0A" w14:textId="77777777" w:rsidR="00C97294" w:rsidRDefault="00C97294" w:rsidP="0045612A">
      <w:pPr>
        <w:jc w:val="both"/>
        <w:rPr>
          <w:rFonts w:ascii="Arial" w:hAnsi="Arial" w:cs="Arial"/>
          <w:sz w:val="20"/>
          <w:szCs w:val="28"/>
        </w:rPr>
      </w:pPr>
      <w:r>
        <w:rPr>
          <w:rFonts w:ascii="Arial" w:hAnsi="Arial" w:cs="Arial"/>
          <w:sz w:val="20"/>
          <w:szCs w:val="28"/>
        </w:rPr>
        <w:t xml:space="preserve">Souhrnně byla řešena mimo jiné tato témata: </w:t>
      </w:r>
    </w:p>
    <w:p w14:paraId="03E58F98" w14:textId="77777777" w:rsidR="00C97294" w:rsidRDefault="00C97294" w:rsidP="0045612A">
      <w:pPr>
        <w:ind w:left="284" w:hanging="284"/>
        <w:jc w:val="both"/>
        <w:rPr>
          <w:rFonts w:ascii="Arial" w:hAnsi="Arial" w:cs="Arial"/>
          <w:sz w:val="20"/>
          <w:szCs w:val="28"/>
        </w:rPr>
      </w:pPr>
      <w:r>
        <w:rPr>
          <w:rFonts w:ascii="Arial" w:hAnsi="Arial" w:cs="Arial"/>
          <w:sz w:val="20"/>
          <w:szCs w:val="28"/>
        </w:rPr>
        <w:t>-</w:t>
      </w:r>
      <w:r>
        <w:rPr>
          <w:rFonts w:ascii="Arial" w:hAnsi="Arial" w:cs="Arial"/>
          <w:sz w:val="20"/>
          <w:szCs w:val="28"/>
        </w:rPr>
        <w:tab/>
        <w:t>legislativní řešení zajištění ubytování uprchlíků v „Lex Ukrajina“ po ukončení nouzového stavu od 1. 7. 2022 – podařilo se prosadit variantu preferovanou kraji v podobě samostatné právní normy a volností nastavení administrace řízení na krajích (KACPU, zajištění úřady apod.)</w:t>
      </w:r>
    </w:p>
    <w:p w14:paraId="18C26F58" w14:textId="77777777" w:rsidR="00C97294" w:rsidRDefault="00C97294" w:rsidP="0045612A">
      <w:pPr>
        <w:ind w:left="284" w:hanging="284"/>
        <w:jc w:val="both"/>
        <w:rPr>
          <w:rFonts w:ascii="Arial" w:hAnsi="Arial" w:cs="Arial"/>
          <w:sz w:val="20"/>
          <w:szCs w:val="28"/>
        </w:rPr>
      </w:pPr>
      <w:r>
        <w:rPr>
          <w:rFonts w:ascii="Arial" w:hAnsi="Arial" w:cs="Arial"/>
          <w:sz w:val="20"/>
          <w:szCs w:val="28"/>
        </w:rPr>
        <w:t>-</w:t>
      </w:r>
      <w:r>
        <w:rPr>
          <w:rFonts w:ascii="Arial" w:hAnsi="Arial" w:cs="Arial"/>
          <w:sz w:val="20"/>
          <w:szCs w:val="28"/>
        </w:rPr>
        <w:tab/>
        <w:t>možnosti motivace k realokaci uprchlíků – diferenciace dávek (není možné), možnosti jsou na dobrovolných nástrojích – problémy s uzavíráním KACPU Praha</w:t>
      </w:r>
    </w:p>
    <w:p w14:paraId="7636547D" w14:textId="77777777" w:rsidR="00C97294" w:rsidRDefault="00C97294" w:rsidP="0045612A">
      <w:pPr>
        <w:ind w:left="284" w:hanging="284"/>
        <w:jc w:val="both"/>
        <w:rPr>
          <w:rFonts w:ascii="Arial" w:hAnsi="Arial" w:cs="Arial"/>
          <w:sz w:val="20"/>
          <w:szCs w:val="28"/>
        </w:rPr>
      </w:pPr>
      <w:r>
        <w:rPr>
          <w:rFonts w:ascii="Arial" w:hAnsi="Arial" w:cs="Arial"/>
          <w:sz w:val="20"/>
          <w:szCs w:val="28"/>
        </w:rPr>
        <w:t>-</w:t>
      </w:r>
      <w:r>
        <w:rPr>
          <w:rFonts w:ascii="Arial" w:hAnsi="Arial" w:cs="Arial"/>
          <w:sz w:val="20"/>
          <w:szCs w:val="28"/>
        </w:rPr>
        <w:tab/>
        <w:t>začlenění dětských uprchlíků do českých škol, zápisy do škol a kapacitní možnosti řešení</w:t>
      </w:r>
    </w:p>
    <w:p w14:paraId="1D54313B" w14:textId="77777777" w:rsidR="00C97294" w:rsidRDefault="00C97294" w:rsidP="0045612A">
      <w:pPr>
        <w:ind w:left="284" w:hanging="284"/>
        <w:jc w:val="both"/>
        <w:rPr>
          <w:rFonts w:ascii="Arial" w:hAnsi="Arial" w:cs="Arial"/>
          <w:sz w:val="20"/>
          <w:szCs w:val="28"/>
        </w:rPr>
      </w:pPr>
      <w:r>
        <w:rPr>
          <w:rFonts w:ascii="Arial" w:hAnsi="Arial" w:cs="Arial"/>
          <w:sz w:val="20"/>
          <w:szCs w:val="28"/>
        </w:rPr>
        <w:t>-</w:t>
      </w:r>
      <w:r>
        <w:rPr>
          <w:rFonts w:ascii="Arial" w:hAnsi="Arial" w:cs="Arial"/>
          <w:sz w:val="20"/>
          <w:szCs w:val="28"/>
        </w:rPr>
        <w:tab/>
        <w:t>problematika romských uprchlíků a jejich prověřování ve spolupráci s maďarskou stranou</w:t>
      </w:r>
    </w:p>
    <w:p w14:paraId="41F1549D" w14:textId="77777777" w:rsidR="00C97294" w:rsidRDefault="00C97294" w:rsidP="0045612A">
      <w:pPr>
        <w:ind w:left="284" w:hanging="284"/>
        <w:jc w:val="both"/>
        <w:rPr>
          <w:rFonts w:ascii="Arial" w:hAnsi="Arial" w:cs="Arial"/>
          <w:sz w:val="20"/>
          <w:szCs w:val="28"/>
        </w:rPr>
      </w:pPr>
      <w:r>
        <w:rPr>
          <w:rFonts w:ascii="Arial" w:hAnsi="Arial" w:cs="Arial"/>
          <w:sz w:val="20"/>
          <w:szCs w:val="28"/>
        </w:rPr>
        <w:t>Jednání se nyní konají ve 14ti denních intervalech.</w:t>
      </w:r>
    </w:p>
    <w:p w14:paraId="6247DD01" w14:textId="77777777" w:rsidR="00C97294" w:rsidRDefault="00C97294" w:rsidP="0045612A">
      <w:pPr>
        <w:jc w:val="both"/>
        <w:rPr>
          <w:rFonts w:ascii="Arial" w:hAnsi="Arial" w:cs="Arial"/>
          <w:sz w:val="20"/>
          <w:szCs w:val="28"/>
        </w:rPr>
      </w:pPr>
    </w:p>
    <w:p w14:paraId="79F6649F"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18. května 2022</w:t>
      </w:r>
      <w:r>
        <w:rPr>
          <w:rFonts w:ascii="Arial" w:hAnsi="Arial" w:cs="Arial"/>
          <w:sz w:val="20"/>
          <w:szCs w:val="28"/>
        </w:rPr>
        <w:t xml:space="preserve"> proběhlo 11. zasedání Rady AKČR v Moravskoslezském kraji, Čeladné. Na tomto zasedání členové Rady diskutovali zejména problematiku nové podoby nastavení rozpočtového určení daní (RUD), jenž krajům zjišťuje majoritní přísun financí prostřednictvím podílu na sdílených daních. Další postup bude probíhat v závislosti na užší koordinaci s Ministerstvem financí a vládou ČR. Dále byly projednány výstupy ze zasedání jednotlivých Komisí Rady AKČR, k nimž byly postupně přijímány usnesení Rady, týkající se vždy konkrétní problematiky spadající do odborné gesce dané Komise. </w:t>
      </w:r>
    </w:p>
    <w:p w14:paraId="7C7F323A" w14:textId="77777777" w:rsidR="00C97294" w:rsidRDefault="00C97294" w:rsidP="0045612A">
      <w:pPr>
        <w:jc w:val="both"/>
        <w:rPr>
          <w:rFonts w:ascii="Arial" w:hAnsi="Arial" w:cs="Arial"/>
          <w:sz w:val="20"/>
          <w:szCs w:val="28"/>
        </w:rPr>
      </w:pPr>
    </w:p>
    <w:p w14:paraId="36B6CEB0"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7. června</w:t>
      </w:r>
      <w:r>
        <w:rPr>
          <w:rFonts w:ascii="Arial" w:hAnsi="Arial" w:cs="Arial"/>
          <w:sz w:val="20"/>
          <w:szCs w:val="28"/>
        </w:rPr>
        <w:t xml:space="preserve"> v dopoledních hodinách proběhlo videokonferenční jednání k novelizaci zákona č. 65/2022 Sb. (tzv. „Lex Ukrajina“) stran ubytování osob s dočasnou ochranou mezi AKČR (zastoupenou reprezentanty z jednotlivých krajů) a MV ČR, zastoupeným náměstkem ministra vnitra Petrem Vokáčem, za účasti zástupců ÚVČR, MMR, MF a dalších zainteresovaných osob. Řešena byla legislativní podoba návrhu, který byl v jeho původně předložené variantě (odkazy na subsidiární použití krizového zákona a zákona o IZS) odmítnut ze strany krajů a  následně byla v krátkém čase vypracována jeho alternativní verze, obsahující již komplexnější úpravu řešené problematiky (pracovně označena jako „varianta č. 3“), jejíž vypracování získalo předchozí podporu ze strany členů Rady AK ČR. Materiál byl v průběhu jednání živě připomínkován ze strany krajů i dalších zúčastněných osob a pod vedením náměstka Vokáče došlo k jeho finalizaci. Vláda takto upravený materiál projednala na svém zasedání dne 8. června 2022. Nyní se projednává provádění nařízení vlády. </w:t>
      </w:r>
    </w:p>
    <w:p w14:paraId="1E23F3E8" w14:textId="77777777" w:rsidR="00C97294" w:rsidRDefault="00C97294" w:rsidP="0045612A">
      <w:pPr>
        <w:jc w:val="both"/>
        <w:rPr>
          <w:rFonts w:ascii="Arial" w:hAnsi="Arial" w:cs="Arial"/>
          <w:sz w:val="20"/>
          <w:szCs w:val="28"/>
        </w:rPr>
      </w:pPr>
    </w:p>
    <w:p w14:paraId="6450C712" w14:textId="77777777" w:rsidR="00C97294" w:rsidRDefault="00C97294" w:rsidP="0045612A">
      <w:pPr>
        <w:jc w:val="both"/>
        <w:rPr>
          <w:rFonts w:ascii="Arial" w:hAnsi="Arial" w:cs="Arial"/>
          <w:sz w:val="20"/>
          <w:szCs w:val="28"/>
        </w:rPr>
      </w:pPr>
      <w:r>
        <w:rPr>
          <w:rFonts w:ascii="Arial" w:hAnsi="Arial" w:cs="Arial"/>
          <w:sz w:val="20"/>
          <w:szCs w:val="28"/>
        </w:rPr>
        <w:t>Informace z jednání Ústředního krizového štábu (ÚKŠ)</w:t>
      </w:r>
    </w:p>
    <w:p w14:paraId="09F1FBCC"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9. května</w:t>
      </w:r>
      <w:r>
        <w:rPr>
          <w:rFonts w:ascii="Arial" w:hAnsi="Arial" w:cs="Arial"/>
          <w:sz w:val="20"/>
          <w:szCs w:val="28"/>
        </w:rPr>
        <w:t xml:space="preserve"> proběhlo jednání ÚKŠ. Projednávala se aktuální situace občanů Ukrajiny v ČR a činnost NACPU a KACPU a dalších podpůrných systémů. Vláda dne 4. května přerušila projednávání dotačního titulu MPSV na podporu rodin s dětmi z Ukrajiny. Opět se také projednaly výdaje na přijatá opatření v důsledků krize na Ukrajině. HZS ČR informoval o propojení informačních systémů HUMPO a CIS. MV chystá zpřísnit opatření na hranicích s ohledem na příchod kriminálně závadových osob z Ukrajiny a MŠMT informovalo o zápisech ukrajinských dětí do ZŠ. Řešila se opět otázka nastavení ubytovávání ukrajinských uprchlíků, jejich povinnosti a povinnosti poskytovatelů ubytování, se zaměřením na romské skupiny. </w:t>
      </w:r>
    </w:p>
    <w:p w14:paraId="2355770F" w14:textId="77777777" w:rsidR="00C97294" w:rsidRDefault="00C97294" w:rsidP="0045612A">
      <w:pPr>
        <w:jc w:val="both"/>
        <w:rPr>
          <w:rFonts w:ascii="Arial" w:hAnsi="Arial" w:cs="Arial"/>
          <w:sz w:val="16"/>
          <w:szCs w:val="16"/>
        </w:rPr>
      </w:pPr>
    </w:p>
    <w:p w14:paraId="20C54BE6" w14:textId="77777777" w:rsidR="00C97294" w:rsidRDefault="00C97294" w:rsidP="0045612A">
      <w:pPr>
        <w:jc w:val="both"/>
        <w:rPr>
          <w:rFonts w:ascii="Arial" w:hAnsi="Arial" w:cs="Arial"/>
          <w:sz w:val="20"/>
          <w:szCs w:val="28"/>
        </w:rPr>
      </w:pPr>
      <w:r>
        <w:rPr>
          <w:rFonts w:ascii="Arial" w:hAnsi="Arial" w:cs="Arial"/>
          <w:sz w:val="20"/>
          <w:szCs w:val="28"/>
        </w:rPr>
        <w:t>Dne</w:t>
      </w:r>
      <w:r>
        <w:rPr>
          <w:rFonts w:ascii="Arial" w:hAnsi="Arial" w:cs="Arial"/>
          <w:i/>
          <w:iCs/>
          <w:sz w:val="20"/>
          <w:szCs w:val="28"/>
        </w:rPr>
        <w:t xml:space="preserve"> 17. května </w:t>
      </w:r>
      <w:r>
        <w:rPr>
          <w:rFonts w:ascii="Arial" w:hAnsi="Arial" w:cs="Arial"/>
          <w:sz w:val="20"/>
          <w:szCs w:val="28"/>
        </w:rPr>
        <w:t xml:space="preserve">pokračovalo jednání ÚKŠ stran aktuální situace občanů Ukrajiny v ČR a opakovaně se řešila otázka zajištění objektů a lokalit pro uprchlíky. Řešily se především objekty a lokality pro uprchlíky před obdržením tzv. dočasné ochrany a pro uprchlíky po úspěšné registraci. Členové ÚKŠ obdrželi informaci od PČR, že za účelem ověřování pravdivosti údajů o ubytování uprchlíků a pro další opatření související s pobytem těchto osob na území ČR, bude policie předávat data a informace z cizineckého informačního systému (CIS) do sytému humanitární pomoci (HUMPO). V tomto směru ministr vnitra Vít Rakušan dohodl přistoupení ČR do informačního systému EU, který bude umožňovat kontrolu uprchlíků, zda nebyla požádána pomoc z jejich strany na více místech EU. Legislativní skupina ÚKŠ dále posoudí možnost vyplácení humanitární pomoci v naturální podobě. MŠMT avizuje problém s registrací ukrajinských dětí u praktických lékařů se zaměřením na zapojení do vzdělávacího procesu v ČR. Na závěr se řešila otázka výstavby stanových měst. </w:t>
      </w:r>
    </w:p>
    <w:p w14:paraId="4BFD7B0A" w14:textId="77777777" w:rsidR="00C97294" w:rsidRDefault="00C97294" w:rsidP="0045612A">
      <w:pPr>
        <w:jc w:val="both"/>
        <w:rPr>
          <w:rFonts w:ascii="Arial" w:hAnsi="Arial" w:cs="Arial"/>
          <w:sz w:val="16"/>
          <w:szCs w:val="16"/>
        </w:rPr>
      </w:pPr>
    </w:p>
    <w:p w14:paraId="56660938"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23. května</w:t>
      </w:r>
      <w:r>
        <w:rPr>
          <w:rFonts w:ascii="Arial" w:hAnsi="Arial" w:cs="Arial"/>
          <w:sz w:val="20"/>
          <w:szCs w:val="28"/>
        </w:rPr>
        <w:t xml:space="preserve"> pokračoval ÚKŠ v jednání o kontinuálně řešených tématech, a to zejm. problematika ubytování uprchlíků. Z tohoto jednání vzešel úkol pro kraje, aby prostřednictvím AK ČR tyto objekty a lokality navrhly. V rámci možnosti vyplácení humanitární pomoci v naturální podobě (viz info z 17.5.) byl tento návrh rozšířen o naturální podobu už při vyplácení první dávky. Ministr vnitra V. Rakušan informoval členy ÚKŠ, že vláda požádá PSP ČR o prodloužení nouzového stavu do konce června letošního roku. Ze strany krajů byl vznesen dotaz, jak se dotkne krajů ukončení nouzového stavu na konci června. Bylo také apelováno na zajištění finančních prostředků na provoz KACPU a ze strany krajů byla snaha domluvit se na vyhlášení dřívějších termínů (v červnu) pro zápisy ukrajinských dětí do ZŠ. Policie ČR představila výsledky projektu cílených kontrol ukrajinských uprchlíků v místě jejich nahlášených pobytů – cca 20 % uprchlíků se nezdržuje v místě, které nahlásili. </w:t>
      </w:r>
    </w:p>
    <w:p w14:paraId="237C9A56" w14:textId="77777777" w:rsidR="00C97294" w:rsidRDefault="00C97294" w:rsidP="0045612A">
      <w:pPr>
        <w:jc w:val="both"/>
        <w:rPr>
          <w:rFonts w:ascii="Arial" w:hAnsi="Arial" w:cs="Arial"/>
          <w:sz w:val="16"/>
          <w:szCs w:val="16"/>
        </w:rPr>
      </w:pPr>
    </w:p>
    <w:p w14:paraId="7E39ABC8"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30. května</w:t>
      </w:r>
      <w:r>
        <w:rPr>
          <w:rFonts w:ascii="Arial" w:hAnsi="Arial" w:cs="Arial"/>
          <w:sz w:val="20"/>
          <w:szCs w:val="28"/>
        </w:rPr>
        <w:t xml:space="preserve"> proběhlo další jednání ÚKŠ, kdy se pokračováno v řešení aktuálních témat. Kraje dostaly úkol prověřit (volné) ubytovací kapacity s ohledem na plánované využití objektů pro zahájení standardní rekreační činnosti. Dále kraje s počtem nad 1 mil. obyvatel připraví kapacitu pro ubytování romských ukrajinských uprchlíků v objemu až 150 osob, u menších krajů pak v rozsahu 30 - 50 uprchlíků. MD informovalo o výplatě cca 33 mil. Kč jako náhrady za zajištění bezplatné dopravy pro ukrajinské uprchlíky za měsíc duben 2022. </w:t>
      </w:r>
    </w:p>
    <w:p w14:paraId="05800FFF" w14:textId="77777777" w:rsidR="00C97294" w:rsidRDefault="00C97294" w:rsidP="0045612A">
      <w:pPr>
        <w:jc w:val="both"/>
        <w:rPr>
          <w:rFonts w:ascii="Arial" w:hAnsi="Arial" w:cs="Arial"/>
          <w:sz w:val="16"/>
          <w:szCs w:val="16"/>
        </w:rPr>
      </w:pPr>
    </w:p>
    <w:p w14:paraId="1CF25253" w14:textId="77777777" w:rsidR="00C97294" w:rsidRDefault="00C97294" w:rsidP="0045612A">
      <w:pPr>
        <w:jc w:val="both"/>
        <w:rPr>
          <w:rFonts w:ascii="Arial" w:hAnsi="Arial" w:cs="Arial"/>
          <w:sz w:val="20"/>
          <w:szCs w:val="28"/>
        </w:rPr>
      </w:pPr>
      <w:r>
        <w:rPr>
          <w:rFonts w:ascii="Arial" w:hAnsi="Arial" w:cs="Arial"/>
          <w:sz w:val="20"/>
          <w:szCs w:val="28"/>
        </w:rPr>
        <w:t xml:space="preserve">Dne </w:t>
      </w:r>
      <w:r>
        <w:rPr>
          <w:rFonts w:ascii="Arial" w:hAnsi="Arial" w:cs="Arial"/>
          <w:i/>
          <w:iCs/>
          <w:sz w:val="20"/>
          <w:szCs w:val="28"/>
        </w:rPr>
        <w:t>6. června</w:t>
      </w:r>
      <w:r>
        <w:rPr>
          <w:rFonts w:ascii="Arial" w:hAnsi="Arial" w:cs="Arial"/>
          <w:sz w:val="20"/>
          <w:szCs w:val="28"/>
        </w:rPr>
        <w:t xml:space="preserve"> proběhlo další jednání ÚKŠ. Od 1. 6. bylo nově nastaveno jednání zástupců vlády ČR s představiteli krajů jednou za dva týdny. MV informovalo, že Informační uprchlický systém v rámci EU začíná pracovat; ČR do něj přistoupí od 13. 6. 2022 a současně se začíná diskutovat tzv. návratová politika. Uprchlickým táborem v Praze-Troji dosud prošlo 615 osob, přes uprchlická zařízení MV v Bělé Jezové a ve Vyšních Lhotách prošlo celkem 3367 osob. Kraje informovaly o zachování provozních hodin v KACPU dle dohody a současně upozornily na problémy spojené se zněním připravovaného zákona „Lex Ukrajina“. Plzeňský kraj vznesl požadavek na vybudování stanového městečka pro uprchlíky i v jeho regionu. </w:t>
      </w:r>
    </w:p>
    <w:p w14:paraId="174D05D5" w14:textId="77777777" w:rsidR="00C97294" w:rsidRDefault="00C97294" w:rsidP="0045612A">
      <w:pPr>
        <w:jc w:val="both"/>
        <w:rPr>
          <w:rFonts w:ascii="Arial" w:hAnsi="Arial" w:cs="Arial"/>
          <w:sz w:val="20"/>
          <w:szCs w:val="28"/>
        </w:rPr>
      </w:pPr>
    </w:p>
    <w:p w14:paraId="00E58164" w14:textId="77777777" w:rsidR="00C97294" w:rsidRDefault="00C97294" w:rsidP="0045612A">
      <w:pPr>
        <w:jc w:val="both"/>
        <w:rPr>
          <w:rFonts w:ascii="Arial" w:hAnsi="Arial" w:cs="Arial"/>
          <w:i/>
          <w:iCs/>
          <w:sz w:val="20"/>
          <w:szCs w:val="28"/>
        </w:rPr>
      </w:pPr>
      <w:r>
        <w:rPr>
          <w:rFonts w:ascii="Arial" w:hAnsi="Arial" w:cs="Arial"/>
          <w:i/>
          <w:iCs/>
          <w:sz w:val="20"/>
          <w:szCs w:val="28"/>
        </w:rPr>
        <w:t>Informace o jednáních odborných orgánů Rady Asociace krajů ČR:</w:t>
      </w:r>
    </w:p>
    <w:p w14:paraId="7FA197F7" w14:textId="77777777" w:rsidR="00C97294" w:rsidRDefault="00C97294" w:rsidP="0045612A">
      <w:pPr>
        <w:jc w:val="both"/>
        <w:rPr>
          <w:rFonts w:ascii="Arial" w:hAnsi="Arial" w:cs="Arial"/>
          <w:sz w:val="20"/>
          <w:szCs w:val="28"/>
        </w:rPr>
      </w:pPr>
      <w:r>
        <w:rPr>
          <w:rFonts w:ascii="Arial" w:hAnsi="Arial" w:cs="Arial"/>
          <w:sz w:val="20"/>
          <w:szCs w:val="28"/>
        </w:rPr>
        <w:t xml:space="preserve">Odbornými orgány Rady jsou dle Stanov odborné Komise (jejichž oblast zaměření je rozdělená dle jednotlivých gescí obdobně jako ministerstva vlády ČR) a Grémium ředitelů krajských úřadů. </w:t>
      </w:r>
    </w:p>
    <w:p w14:paraId="754FD93D" w14:textId="77777777" w:rsidR="00C97294" w:rsidRDefault="00C97294" w:rsidP="0045612A">
      <w:pPr>
        <w:jc w:val="both"/>
        <w:rPr>
          <w:rFonts w:ascii="Arial" w:hAnsi="Arial" w:cs="Arial"/>
          <w:sz w:val="16"/>
          <w:szCs w:val="16"/>
        </w:rPr>
      </w:pPr>
    </w:p>
    <w:p w14:paraId="134DDDF1" w14:textId="77777777" w:rsidR="00C97294" w:rsidRDefault="00C97294" w:rsidP="0045612A">
      <w:pPr>
        <w:jc w:val="both"/>
        <w:rPr>
          <w:rFonts w:ascii="Arial" w:hAnsi="Arial" w:cs="Arial"/>
          <w:sz w:val="20"/>
          <w:szCs w:val="28"/>
        </w:rPr>
      </w:pPr>
      <w:r>
        <w:rPr>
          <w:rFonts w:ascii="Arial" w:hAnsi="Arial" w:cs="Arial"/>
          <w:sz w:val="20"/>
          <w:szCs w:val="28"/>
        </w:rPr>
        <w:t xml:space="preserve">Za období od 6. 5. 2022 zasedaly následující odborné orgány: </w:t>
      </w:r>
    </w:p>
    <w:p w14:paraId="2D4825DE" w14:textId="77777777" w:rsidR="00C97294" w:rsidRDefault="00C97294" w:rsidP="0045612A">
      <w:pPr>
        <w:jc w:val="both"/>
        <w:rPr>
          <w:rFonts w:ascii="Arial" w:hAnsi="Arial" w:cs="Arial"/>
          <w:sz w:val="20"/>
          <w:szCs w:val="28"/>
        </w:rPr>
      </w:pPr>
    </w:p>
    <w:p w14:paraId="43E17BC8" w14:textId="77777777" w:rsidR="00C97294" w:rsidRDefault="00C97294" w:rsidP="0045612A">
      <w:pPr>
        <w:jc w:val="both"/>
        <w:rPr>
          <w:rFonts w:ascii="Arial" w:hAnsi="Arial" w:cs="Arial"/>
          <w:sz w:val="20"/>
          <w:szCs w:val="28"/>
        </w:rPr>
      </w:pPr>
      <w:r>
        <w:rPr>
          <w:rFonts w:ascii="Arial" w:hAnsi="Arial" w:cs="Arial"/>
          <w:sz w:val="20"/>
          <w:szCs w:val="28"/>
        </w:rPr>
        <w:t xml:space="preserve">Dne 10. května proběhlo zasedání Komise pro školství a sport. Komise se zabývala strategickým řízením integrace ukrajinských dětí a žáků (uprchlíků) do vzdělávacího systému v ČR v součinnosti s MŠMT a také návrhem realizace implementačních projektů krajů po roce 2023 v OP JAK. Z podnětu Královéhradeckého kraje byla MŠMT tlumočena výhrada k zápisu nových středních škol či navyšování kapacit oborů středních škol bez náležité konzultace s dotčeným krajem. Proběhla jednání k problematice sportu, kde byl uplatněn požadavek na lepší podmínky smluv pro kraje pořádající ODM. </w:t>
      </w:r>
    </w:p>
    <w:p w14:paraId="3C568218" w14:textId="77777777" w:rsidR="00C97294" w:rsidRDefault="00C97294" w:rsidP="0045612A">
      <w:pPr>
        <w:jc w:val="both"/>
        <w:rPr>
          <w:rFonts w:ascii="Arial" w:hAnsi="Arial" w:cs="Arial"/>
          <w:sz w:val="20"/>
          <w:szCs w:val="28"/>
        </w:rPr>
      </w:pPr>
    </w:p>
    <w:p w14:paraId="5DC9B5C6" w14:textId="77777777" w:rsidR="00C97294" w:rsidRDefault="00C97294" w:rsidP="0045612A">
      <w:pPr>
        <w:jc w:val="both"/>
        <w:rPr>
          <w:rFonts w:ascii="Arial" w:hAnsi="Arial" w:cs="Arial"/>
          <w:sz w:val="20"/>
          <w:szCs w:val="28"/>
        </w:rPr>
      </w:pPr>
      <w:r>
        <w:rPr>
          <w:rFonts w:ascii="Arial" w:hAnsi="Arial" w:cs="Arial"/>
          <w:sz w:val="20"/>
          <w:szCs w:val="28"/>
        </w:rPr>
        <w:t xml:space="preserve">Dne 13. května proběhlo zasedání Komise pro veřejnou správu a legislativu, jenž se v návaznosti na předchozí jednání zabývala problematikou probíhající rekodifikace stavebního práva, analýzou Plánu legislativních prací vlády na zbytek roku 2022 a dále též podpořila zákonodárnou iniciativu Zlínského kraje na novelizaci zákona č. 239/2000 Sb., o IZS, týkající se problematiky poskytování finančních náhrad dle uvedeného předpisu. </w:t>
      </w:r>
    </w:p>
    <w:p w14:paraId="1E4F4BB7" w14:textId="77777777" w:rsidR="00C97294" w:rsidRDefault="00C97294" w:rsidP="0045612A">
      <w:pPr>
        <w:jc w:val="both"/>
        <w:rPr>
          <w:rFonts w:ascii="Arial" w:hAnsi="Arial" w:cs="Arial"/>
          <w:sz w:val="20"/>
          <w:szCs w:val="28"/>
        </w:rPr>
      </w:pPr>
    </w:p>
    <w:p w14:paraId="63187CB3" w14:textId="77777777" w:rsidR="00C97294" w:rsidRDefault="00C97294" w:rsidP="0045612A">
      <w:pPr>
        <w:jc w:val="both"/>
        <w:rPr>
          <w:rFonts w:ascii="Arial" w:hAnsi="Arial" w:cs="Arial"/>
          <w:sz w:val="20"/>
          <w:szCs w:val="28"/>
        </w:rPr>
      </w:pPr>
      <w:r>
        <w:rPr>
          <w:rFonts w:ascii="Arial" w:hAnsi="Arial" w:cs="Arial"/>
          <w:sz w:val="20"/>
          <w:szCs w:val="28"/>
        </w:rPr>
        <w:t xml:space="preserve">Dne 19. - 20. května proběhlo zasedání Komise pro sociální věci. Zabývala se např. aktuální situací v protidrogové politice a opětovně projednávala problematiku „pověření službou obecného hospodářského zájmu“. Jednání se zúčastnil též zástupce Národní rady osob se zdravotním postižením, jenž vznesl apel na kompenzaci vysokých nákladů energií a pohonných hmot osobám se zdravotním postižením. Komise následně přijala usnesení k materiálu „Základní teze a návrhy změn v oblasti plánování a financování sociálních služeb ČR“; materiál obsahuje návrh určený MPSV pro přípravu návrhu zákona o sociálních službách, které má ministerstvo zohlednit a zpracovat ve formě legislativního návrhu. </w:t>
      </w:r>
    </w:p>
    <w:p w14:paraId="3D74DB55" w14:textId="77777777" w:rsidR="00C97294" w:rsidRDefault="00C97294" w:rsidP="0045612A">
      <w:pPr>
        <w:jc w:val="both"/>
        <w:rPr>
          <w:rFonts w:ascii="Arial" w:hAnsi="Arial" w:cs="Arial"/>
          <w:sz w:val="20"/>
          <w:szCs w:val="28"/>
        </w:rPr>
      </w:pPr>
    </w:p>
    <w:p w14:paraId="470F32D5" w14:textId="77777777" w:rsidR="00C97294" w:rsidRDefault="00C97294" w:rsidP="0045612A">
      <w:pPr>
        <w:jc w:val="both"/>
        <w:rPr>
          <w:rFonts w:ascii="Arial" w:hAnsi="Arial" w:cs="Arial"/>
          <w:sz w:val="20"/>
          <w:szCs w:val="28"/>
        </w:rPr>
      </w:pPr>
      <w:r>
        <w:rPr>
          <w:rFonts w:ascii="Arial" w:hAnsi="Arial" w:cs="Arial"/>
          <w:sz w:val="20"/>
          <w:szCs w:val="28"/>
        </w:rPr>
        <w:t xml:space="preserve">Dne 9. června zasedala Komise pro dopravu, kde za účasti ministra dopravy M. Kupky detailně diskutovala především problematiku dopadů zvyšování cen PHM a obecně energií do regionální dopravy. Společně se dohodli na podpoře zajištění 6 mld. Kč, které by měly být v roce 2023 směřovány do dotačního titulu SFDI na opravu a rekonstrukce silnic II. a III. tříd a mostů. Členové byli seznámeni s aktualizací státního jednotného tarifu a úpravou státem nařízených slev v autobusové a vlakové dopravě a byla diskutována problematika sjednocení plánu investic SŽ a plánu krajů v železniční dopravě. </w:t>
      </w:r>
    </w:p>
    <w:p w14:paraId="2D1DDEE3" w14:textId="77777777" w:rsidR="00C97294" w:rsidRDefault="00C97294" w:rsidP="0045612A">
      <w:pPr>
        <w:jc w:val="both"/>
        <w:rPr>
          <w:rFonts w:ascii="Arial" w:hAnsi="Arial" w:cs="Arial"/>
          <w:sz w:val="20"/>
          <w:szCs w:val="28"/>
        </w:rPr>
      </w:pPr>
    </w:p>
    <w:p w14:paraId="6DFC6535" w14:textId="77777777" w:rsidR="00C97294" w:rsidRDefault="00C97294" w:rsidP="0045612A">
      <w:pPr>
        <w:jc w:val="both"/>
        <w:rPr>
          <w:rFonts w:ascii="Arial" w:hAnsi="Arial" w:cs="Arial"/>
          <w:sz w:val="20"/>
          <w:szCs w:val="28"/>
        </w:rPr>
      </w:pPr>
      <w:r>
        <w:rPr>
          <w:rFonts w:ascii="Arial" w:hAnsi="Arial" w:cs="Arial"/>
          <w:sz w:val="20"/>
          <w:szCs w:val="28"/>
        </w:rPr>
        <w:t xml:space="preserve">Dne 10. června projednala Komise pro finanční rozvojové programy stav přípravy IROP 2021-2027 za účasti náměstka ministra pro místní rozvoj Z. Semoráda, aktuální informace týkající se územní dimenze a implementace Národního plánu obnovy. Komise prostřednictvím SFŽP obdržela nabídku dotací pro samosprávy v letech 2022 a roky následující. Na závěr projednala vládní strategii pro zvládání uprchlické krize a s tím spojenou finanční podporu z EU. </w:t>
      </w:r>
    </w:p>
    <w:p w14:paraId="06C38BAF" w14:textId="77777777" w:rsidR="00C97294" w:rsidRDefault="00C97294" w:rsidP="0045612A">
      <w:pPr>
        <w:jc w:val="both"/>
        <w:rPr>
          <w:rFonts w:ascii="Arial" w:hAnsi="Arial" w:cs="Arial"/>
          <w:sz w:val="20"/>
          <w:szCs w:val="28"/>
        </w:rPr>
      </w:pPr>
    </w:p>
    <w:p w14:paraId="16D25B92" w14:textId="77777777" w:rsidR="00C97294" w:rsidRDefault="00C97294" w:rsidP="0045612A">
      <w:pPr>
        <w:jc w:val="both"/>
        <w:rPr>
          <w:rFonts w:ascii="Arial" w:hAnsi="Arial" w:cs="Arial"/>
          <w:sz w:val="20"/>
          <w:szCs w:val="28"/>
        </w:rPr>
      </w:pPr>
    </w:p>
    <w:p w14:paraId="1F0F9CD9" w14:textId="77777777" w:rsidR="00C97294" w:rsidRDefault="00C97294" w:rsidP="0045612A">
      <w:pPr>
        <w:jc w:val="both"/>
        <w:rPr>
          <w:rFonts w:ascii="Arial" w:hAnsi="Arial"/>
          <w:sz w:val="16"/>
          <w:szCs w:val="16"/>
        </w:rPr>
      </w:pPr>
    </w:p>
    <w:p w14:paraId="3500FC23" w14:textId="77777777" w:rsidR="00C97294" w:rsidRDefault="00C97294" w:rsidP="0045612A">
      <w:pPr>
        <w:pStyle w:val="Normlnweb"/>
        <w:shd w:val="clear" w:color="auto" w:fill="FFFFFF"/>
        <w:spacing w:before="0" w:beforeAutospacing="0" w:after="0" w:afterAutospacing="0"/>
        <w:jc w:val="both"/>
        <w:rPr>
          <w:rFonts w:ascii="Arial" w:hAnsi="Arial"/>
          <w:sz w:val="20"/>
          <w:szCs w:val="28"/>
        </w:rPr>
      </w:pPr>
      <w:r>
        <w:rPr>
          <w:rFonts w:ascii="Arial" w:hAnsi="Arial"/>
          <w:sz w:val="20"/>
          <w:szCs w:val="28"/>
        </w:rPr>
        <w:t>Finanční nároky a krytí: nemá dopad do rozpočtu</w:t>
      </w:r>
    </w:p>
    <w:p w14:paraId="01D59340" w14:textId="77777777" w:rsidR="00C97294" w:rsidRDefault="00C97294" w:rsidP="0045612A">
      <w:pPr>
        <w:pStyle w:val="Normlnweb"/>
        <w:shd w:val="clear" w:color="auto" w:fill="FFFFFF"/>
        <w:spacing w:before="0" w:beforeAutospacing="0" w:after="0" w:afterAutospacing="0"/>
        <w:jc w:val="both"/>
        <w:rPr>
          <w:rFonts w:ascii="Arial" w:hAnsi="Arial"/>
          <w:sz w:val="20"/>
          <w:szCs w:val="28"/>
        </w:rPr>
      </w:pPr>
      <w:r>
        <w:rPr>
          <w:rFonts w:ascii="Arial" w:hAnsi="Arial"/>
          <w:sz w:val="20"/>
          <w:szCs w:val="28"/>
        </w:rPr>
        <w:t>Vyjádření správce rozpočtu: nebylo vyžádáno</w:t>
      </w:r>
    </w:p>
    <w:p w14:paraId="797EAB21" w14:textId="77777777" w:rsidR="00C97294" w:rsidRDefault="00C97294" w:rsidP="0045612A">
      <w:pPr>
        <w:spacing w:after="100"/>
        <w:jc w:val="both"/>
        <w:rPr>
          <w:rFonts w:ascii="Arial" w:hAnsi="Arial"/>
          <w:sz w:val="20"/>
          <w:szCs w:val="28"/>
        </w:rPr>
      </w:pPr>
    </w:p>
    <w:p w14:paraId="0B7809A1" w14:textId="77777777" w:rsidR="00C97294" w:rsidRDefault="00C97294" w:rsidP="0045612A">
      <w:pPr>
        <w:spacing w:after="100"/>
        <w:jc w:val="both"/>
        <w:rPr>
          <w:rFonts w:ascii="Arial" w:hAnsi="Arial"/>
          <w:sz w:val="20"/>
          <w:szCs w:val="28"/>
        </w:rPr>
      </w:pPr>
    </w:p>
    <w:p w14:paraId="17161A9E" w14:textId="77777777" w:rsidR="00C97294" w:rsidRDefault="00C97294" w:rsidP="0045612A">
      <w:pPr>
        <w:spacing w:after="100"/>
        <w:jc w:val="both"/>
        <w:rPr>
          <w:rFonts w:ascii="Arial" w:hAnsi="Arial"/>
          <w:sz w:val="20"/>
          <w:szCs w:val="28"/>
        </w:rPr>
      </w:pPr>
      <w:r>
        <w:rPr>
          <w:rFonts w:ascii="Arial" w:hAnsi="Arial"/>
          <w:sz w:val="20"/>
          <w:szCs w:val="28"/>
        </w:rPr>
        <w:t>PŘÍLOHY: bez příloh</w:t>
      </w:r>
    </w:p>
    <w:p w14:paraId="4607CA8F" w14:textId="77777777" w:rsidR="00C97294" w:rsidRDefault="00C97294" w:rsidP="0045612A">
      <w:pPr>
        <w:spacing w:after="100"/>
        <w:jc w:val="both"/>
        <w:rPr>
          <w:rFonts w:ascii="Arial" w:hAnsi="Arial"/>
          <w:b/>
          <w:bCs/>
          <w:sz w:val="20"/>
          <w:szCs w:val="28"/>
        </w:rPr>
      </w:pPr>
    </w:p>
    <w:p w14:paraId="33F29B67" w14:textId="77777777" w:rsidR="00C97294" w:rsidRDefault="00C97294" w:rsidP="0045612A">
      <w:pPr>
        <w:spacing w:after="100"/>
        <w:jc w:val="both"/>
        <w:rPr>
          <w:rFonts w:ascii="Arial" w:hAnsi="Arial"/>
          <w:sz w:val="20"/>
          <w:szCs w:val="28"/>
        </w:rPr>
      </w:pPr>
      <w:r>
        <w:rPr>
          <w:rFonts w:ascii="Arial" w:hAnsi="Arial"/>
          <w:b/>
          <w:bCs/>
          <w:sz w:val="20"/>
          <w:szCs w:val="28"/>
        </w:rPr>
        <w:t>Zodpovídá:</w:t>
      </w:r>
      <w:r>
        <w:rPr>
          <w:rFonts w:ascii="Arial" w:hAnsi="Arial"/>
          <w:sz w:val="20"/>
          <w:szCs w:val="28"/>
        </w:rPr>
        <w:t xml:space="preserve">  vedoucí KHEJ - Mgr. Petr Podhola</w:t>
      </w:r>
    </w:p>
    <w:p w14:paraId="7D4094E2" w14:textId="77777777" w:rsidR="00C97294" w:rsidRDefault="00C97294" w:rsidP="0045612A">
      <w:pPr>
        <w:jc w:val="both"/>
        <w:rPr>
          <w:rFonts w:ascii="Arial" w:hAnsi="Arial"/>
          <w:sz w:val="20"/>
          <w:szCs w:val="28"/>
        </w:rPr>
      </w:pPr>
    </w:p>
    <w:p w14:paraId="319C9378" w14:textId="77777777" w:rsidR="00C97294" w:rsidRDefault="00C97294" w:rsidP="0045612A">
      <w:pPr>
        <w:jc w:val="both"/>
        <w:rPr>
          <w:rFonts w:ascii="Arial" w:hAnsi="Arial"/>
          <w:sz w:val="20"/>
          <w:szCs w:val="28"/>
        </w:rPr>
      </w:pPr>
    </w:p>
    <w:p w14:paraId="5ED235B0" w14:textId="77777777" w:rsidR="00C97294" w:rsidRDefault="00C97294" w:rsidP="0045612A">
      <w:pPr>
        <w:jc w:val="both"/>
        <w:rPr>
          <w:rFonts w:ascii="Arial" w:hAnsi="Arial"/>
          <w:sz w:val="20"/>
          <w:szCs w:val="28"/>
        </w:rPr>
      </w:pPr>
      <w:r>
        <w:rPr>
          <w:rFonts w:ascii="Arial" w:hAnsi="Arial"/>
          <w:sz w:val="20"/>
          <w:szCs w:val="28"/>
        </w:rPr>
        <w:t xml:space="preserve">Termín kontroly: 16. 6. 2022                </w:t>
      </w:r>
    </w:p>
    <w:p w14:paraId="41628BA3" w14:textId="77777777" w:rsidR="00C97294" w:rsidRDefault="00C97294" w:rsidP="0045612A">
      <w:pPr>
        <w:jc w:val="both"/>
      </w:pPr>
      <w:r>
        <w:rPr>
          <w:rFonts w:ascii="Arial" w:hAnsi="Arial"/>
          <w:sz w:val="20"/>
          <w:szCs w:val="28"/>
        </w:rPr>
        <w:t>Termín splnění:  16. 6. 2022</w:t>
      </w:r>
    </w:p>
    <w:p w14:paraId="7C93B8DD" w14:textId="77777777" w:rsidR="00C97294" w:rsidRDefault="00C97294" w:rsidP="0045612A">
      <w:pPr>
        <w:pStyle w:val="Normlnweb"/>
        <w:shd w:val="clear" w:color="auto" w:fill="FFFFFF"/>
        <w:spacing w:before="0" w:beforeAutospacing="0"/>
        <w:jc w:val="both"/>
        <w:rPr>
          <w:rFonts w:ascii="Arial" w:hAnsi="Arial"/>
          <w:sz w:val="16"/>
          <w:szCs w:val="16"/>
        </w:rPr>
      </w:pPr>
    </w:p>
    <w:p w14:paraId="4A27EF85" w14:textId="77777777" w:rsidR="00C97294" w:rsidRDefault="00C97294" w:rsidP="001C3F39">
      <w:pPr>
        <w:jc w:val="both"/>
        <w:rPr>
          <w:rFonts w:ascii="Arial" w:hAnsi="Arial"/>
          <w:sz w:val="16"/>
          <w:szCs w:val="16"/>
        </w:rPr>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DC66C" w14:textId="77777777" w:rsidR="00C97294" w:rsidRDefault="00C97294" w:rsidP="00C97294">
    <w:r>
      <w:rPr>
        <w:noProof/>
      </w:rPr>
      <w:pict w14:anchorId="56D44A65">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62F0FF03" w14:textId="77777777" w:rsidR="00C97294" w:rsidRPr="005F485E" w:rsidRDefault="00C97294" w:rsidP="00C97294">
                <w:pPr>
                  <w:spacing w:after="60"/>
                  <w:rPr>
                    <w:rFonts w:ascii="Arial" w:hAnsi="Arial" w:cs="Arial"/>
                    <w:b/>
                    <w:sz w:val="22"/>
                  </w:rPr>
                </w:pPr>
                <w:r w:rsidRPr="005F485E">
                  <w:rPr>
                    <w:rFonts w:ascii="Arial" w:hAnsi="Arial" w:cs="Arial"/>
                    <w:b/>
                    <w:sz w:val="22"/>
                  </w:rPr>
                  <w:t>ZASTUPITELSTVO JIHOČESKÉHO KRAJE</w:t>
                </w:r>
              </w:p>
              <w:p w14:paraId="52740356" w14:textId="77777777" w:rsidR="00C97294" w:rsidRPr="005F485E" w:rsidRDefault="00C97294" w:rsidP="00C9729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936FB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4541FFC4" w14:textId="77777777" w:rsidR="00C97294" w:rsidRDefault="00C97294" w:rsidP="00C97294">
    <w:r>
      <w:pict w14:anchorId="3D64E6A4">
        <v:rect id="_x0000_i1026" style="width:481.9pt;height:2pt" o:hralign="center" o:hrstd="t" o:hrnoshade="t" o:hr="t" fillcolor="black" stroked="f"/>
      </w:pict>
    </w:r>
  </w:p>
  <w:p w14:paraId="04C85B99" w14:textId="77777777" w:rsidR="00C97294" w:rsidRPr="00C97294" w:rsidRDefault="00C97294" w:rsidP="00C972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0418523">
    <w:abstractNumId w:val="1"/>
  </w:num>
  <w:num w:numId="2" w16cid:durableId="925842680">
    <w:abstractNumId w:val="2"/>
  </w:num>
  <w:num w:numId="3" w16cid:durableId="888613763">
    <w:abstractNumId w:val="9"/>
  </w:num>
  <w:num w:numId="4" w16cid:durableId="865828626">
    <w:abstractNumId w:val="7"/>
  </w:num>
  <w:num w:numId="5" w16cid:durableId="157893166">
    <w:abstractNumId w:val="0"/>
  </w:num>
  <w:num w:numId="6" w16cid:durableId="378553190">
    <w:abstractNumId w:val="3"/>
  </w:num>
  <w:num w:numId="7" w16cid:durableId="2030983686">
    <w:abstractNumId w:val="6"/>
  </w:num>
  <w:num w:numId="8" w16cid:durableId="1970435692">
    <w:abstractNumId w:val="4"/>
  </w:num>
  <w:num w:numId="9" w16cid:durableId="1618490042">
    <w:abstractNumId w:val="5"/>
  </w:num>
  <w:num w:numId="10" w16cid:durableId="5062889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294"/>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Normlnweb">
    <w:name w:val="Normal (Web)"/>
    <w:basedOn w:val="Normln"/>
    <w:uiPriority w:val="99"/>
    <w:unhideWhenUsed/>
    <w:rsid w:val="00C97294"/>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1560</Words>
  <Characters>9205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2022-06-17T11:43:00Z</dcterms:created>
  <dcterms:modified xsi:type="dcterms:W3CDTF">2022-06-17T11:43:00Z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5824875</vt:i4>
  </property>
  <property fmtid="{D5CDD505-2E9C-101B-9397-08002B2CF9AE}" pid="3" name="ID_Navrh">
    <vt:i4>6057879</vt:i4>
  </property>
  <property fmtid="{D5CDD505-2E9C-101B-9397-08002B2CF9AE}" pid="4" name="UlozitJako">
    <vt:lpwstr>C:\Users\mrazkova\AppData\Local\Temp\iU42893620\Zastupitelstvo\2022-06-16\Navrhy\255-ZK-22.</vt:lpwstr>
  </property>
  <property fmtid="{D5CDD505-2E9C-101B-9397-08002B2CF9AE}" pid="5" name="Zpracovat">
    <vt:bool>false</vt:bool>
  </property>
</Properties>
</file>