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81630" w14:paraId="73A41F4C" w14:textId="77777777" w:rsidTr="00A7369E">
        <w:trPr>
          <w:trHeight w:hRule="exact" w:val="397"/>
        </w:trPr>
        <w:tc>
          <w:tcPr>
            <w:tcW w:w="2376" w:type="dxa"/>
            <w:hideMark/>
          </w:tcPr>
          <w:p w14:paraId="10DF8BAB" w14:textId="77777777" w:rsidR="00C81630" w:rsidRDefault="00C81630" w:rsidP="00510C30">
            <w:pPr>
              <w:pStyle w:val="KUJKtucny"/>
            </w:pPr>
            <w:r>
              <w:t>Datum jednání:</w:t>
            </w:r>
          </w:p>
        </w:tc>
        <w:tc>
          <w:tcPr>
            <w:tcW w:w="3828" w:type="dxa"/>
            <w:hideMark/>
          </w:tcPr>
          <w:p w14:paraId="6AFDE3E7" w14:textId="77777777" w:rsidR="00C81630" w:rsidRDefault="00C81630" w:rsidP="00510C30">
            <w:pPr>
              <w:pStyle w:val="KUJKnormal"/>
            </w:pPr>
            <w:r>
              <w:t>19. 05. 2022</w:t>
            </w:r>
          </w:p>
        </w:tc>
        <w:tc>
          <w:tcPr>
            <w:tcW w:w="2126" w:type="dxa"/>
            <w:hideMark/>
          </w:tcPr>
          <w:p w14:paraId="291D0B62" w14:textId="77777777" w:rsidR="00C81630" w:rsidRDefault="00C81630" w:rsidP="00510C30">
            <w:pPr>
              <w:pStyle w:val="KUJKtucny"/>
            </w:pPr>
            <w:r>
              <w:t>Bod programu:</w:t>
            </w:r>
          </w:p>
        </w:tc>
        <w:tc>
          <w:tcPr>
            <w:tcW w:w="850" w:type="dxa"/>
          </w:tcPr>
          <w:p w14:paraId="5A4A68D2" w14:textId="77777777" w:rsidR="00C81630" w:rsidRDefault="00C81630" w:rsidP="00510C30">
            <w:pPr>
              <w:pStyle w:val="KUJKnormal"/>
            </w:pPr>
          </w:p>
        </w:tc>
      </w:tr>
      <w:tr w:rsidR="00C81630" w14:paraId="4593042E" w14:textId="77777777" w:rsidTr="00A7369E">
        <w:trPr>
          <w:cantSplit/>
          <w:trHeight w:hRule="exact" w:val="397"/>
        </w:trPr>
        <w:tc>
          <w:tcPr>
            <w:tcW w:w="2376" w:type="dxa"/>
            <w:hideMark/>
          </w:tcPr>
          <w:p w14:paraId="7A518CBC" w14:textId="77777777" w:rsidR="00C81630" w:rsidRDefault="00C81630" w:rsidP="00510C30">
            <w:pPr>
              <w:pStyle w:val="KUJKtucny"/>
            </w:pPr>
            <w:r>
              <w:t>Číslo návrhu:</w:t>
            </w:r>
          </w:p>
        </w:tc>
        <w:tc>
          <w:tcPr>
            <w:tcW w:w="6804" w:type="dxa"/>
            <w:gridSpan w:val="3"/>
            <w:hideMark/>
          </w:tcPr>
          <w:p w14:paraId="2590F851" w14:textId="77777777" w:rsidR="00C81630" w:rsidRDefault="00C81630" w:rsidP="00510C30">
            <w:pPr>
              <w:pStyle w:val="KUJKnormal"/>
            </w:pPr>
            <w:r>
              <w:t>166/ZK/22</w:t>
            </w:r>
          </w:p>
        </w:tc>
      </w:tr>
      <w:tr w:rsidR="00C81630" w14:paraId="0748FE4B" w14:textId="77777777" w:rsidTr="00A7369E">
        <w:trPr>
          <w:trHeight w:val="397"/>
        </w:trPr>
        <w:tc>
          <w:tcPr>
            <w:tcW w:w="2376" w:type="dxa"/>
          </w:tcPr>
          <w:p w14:paraId="341440DD" w14:textId="77777777" w:rsidR="00C81630" w:rsidRDefault="00C81630" w:rsidP="00510C30"/>
          <w:p w14:paraId="08092432" w14:textId="77777777" w:rsidR="00C81630" w:rsidRDefault="00C81630" w:rsidP="00510C30">
            <w:pPr>
              <w:pStyle w:val="KUJKtucny"/>
            </w:pPr>
            <w:r>
              <w:t>Název bodu:</w:t>
            </w:r>
          </w:p>
        </w:tc>
        <w:tc>
          <w:tcPr>
            <w:tcW w:w="6804" w:type="dxa"/>
            <w:gridSpan w:val="3"/>
          </w:tcPr>
          <w:p w14:paraId="61BE57B2" w14:textId="77777777" w:rsidR="00C81630" w:rsidRDefault="00C81630" w:rsidP="00510C30"/>
          <w:p w14:paraId="5E373715" w14:textId="77777777" w:rsidR="00C81630" w:rsidRDefault="00C81630" w:rsidP="00510C30">
            <w:pPr>
              <w:pStyle w:val="KUJKtucny"/>
              <w:rPr>
                <w:sz w:val="22"/>
                <w:szCs w:val="22"/>
              </w:rPr>
            </w:pPr>
            <w:r>
              <w:rPr>
                <w:sz w:val="22"/>
                <w:szCs w:val="22"/>
              </w:rPr>
              <w:t>Zpráva o činnosti Rady Asociace krajů ČR</w:t>
            </w:r>
          </w:p>
        </w:tc>
      </w:tr>
    </w:tbl>
    <w:p w14:paraId="165038AC" w14:textId="77777777" w:rsidR="00C81630" w:rsidRDefault="00C81630" w:rsidP="00A7369E">
      <w:pPr>
        <w:pStyle w:val="KUJKnormal"/>
        <w:rPr>
          <w:b/>
          <w:bCs/>
        </w:rPr>
      </w:pPr>
      <w:r>
        <w:rPr>
          <w:b/>
          <w:bCs/>
        </w:rPr>
        <w:pict w14:anchorId="15D375D7">
          <v:rect id="_x0000_i1029" style="width:453.6pt;height:1.5pt" o:hralign="center" o:hrstd="t" o:hrnoshade="t" o:hr="t" fillcolor="black" stroked="f"/>
        </w:pict>
      </w:r>
    </w:p>
    <w:p w14:paraId="1E9AE585" w14:textId="77777777" w:rsidR="00C81630" w:rsidRPr="001945CA" w:rsidRDefault="00C81630" w:rsidP="00A7369E">
      <w:pPr>
        <w:rPr>
          <w:sz w:val="20"/>
          <w:szCs w:val="20"/>
        </w:rPr>
      </w:pPr>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C81630" w14:paraId="72EF45D7" w14:textId="77777777" w:rsidTr="00510C30">
        <w:trPr>
          <w:trHeight w:val="397"/>
        </w:trPr>
        <w:tc>
          <w:tcPr>
            <w:tcW w:w="2350" w:type="dxa"/>
            <w:hideMark/>
          </w:tcPr>
          <w:p w14:paraId="3763DA49" w14:textId="77777777" w:rsidR="00C81630" w:rsidRDefault="00C81630" w:rsidP="00510C30">
            <w:pPr>
              <w:pStyle w:val="KUJKtucny"/>
            </w:pPr>
            <w:r>
              <w:t>Předkladatel:</w:t>
            </w:r>
          </w:p>
        </w:tc>
        <w:tc>
          <w:tcPr>
            <w:tcW w:w="6862" w:type="dxa"/>
          </w:tcPr>
          <w:p w14:paraId="0CB9FA7D" w14:textId="77777777" w:rsidR="00C81630" w:rsidRDefault="00C81630" w:rsidP="00510C30">
            <w:pPr>
              <w:pStyle w:val="KUJKnormal"/>
            </w:pPr>
            <w:r>
              <w:t>MUDr. Martin Kuba</w:t>
            </w:r>
          </w:p>
          <w:p w14:paraId="55CB4A53" w14:textId="77777777" w:rsidR="00C81630" w:rsidRDefault="00C81630" w:rsidP="00510C30"/>
        </w:tc>
      </w:tr>
      <w:tr w:rsidR="00C81630" w14:paraId="5C131342" w14:textId="77777777" w:rsidTr="00510C30">
        <w:trPr>
          <w:trHeight w:val="397"/>
        </w:trPr>
        <w:tc>
          <w:tcPr>
            <w:tcW w:w="2350" w:type="dxa"/>
          </w:tcPr>
          <w:p w14:paraId="60573454" w14:textId="77777777" w:rsidR="00C81630" w:rsidRDefault="00C81630" w:rsidP="00510C30">
            <w:pPr>
              <w:pStyle w:val="KUJKtucny"/>
            </w:pPr>
            <w:r>
              <w:t>Zpracoval:</w:t>
            </w:r>
          </w:p>
          <w:p w14:paraId="0C7F51A9" w14:textId="77777777" w:rsidR="00C81630" w:rsidRDefault="00C81630" w:rsidP="00510C30"/>
        </w:tc>
        <w:tc>
          <w:tcPr>
            <w:tcW w:w="6862" w:type="dxa"/>
            <w:hideMark/>
          </w:tcPr>
          <w:p w14:paraId="0B6C7D64" w14:textId="77777777" w:rsidR="00C81630" w:rsidRDefault="00C81630" w:rsidP="00510C30">
            <w:pPr>
              <w:pStyle w:val="KUJKnormal"/>
            </w:pPr>
            <w:r>
              <w:t>KHEJ</w:t>
            </w:r>
          </w:p>
        </w:tc>
      </w:tr>
      <w:tr w:rsidR="00C81630" w14:paraId="61282F92" w14:textId="77777777" w:rsidTr="00510C30">
        <w:trPr>
          <w:trHeight w:val="397"/>
        </w:trPr>
        <w:tc>
          <w:tcPr>
            <w:tcW w:w="2350" w:type="dxa"/>
          </w:tcPr>
          <w:p w14:paraId="62D6B213" w14:textId="77777777" w:rsidR="00C81630" w:rsidRPr="009715F9" w:rsidRDefault="00C81630" w:rsidP="00510C30">
            <w:pPr>
              <w:pStyle w:val="KUJKnormal"/>
              <w:rPr>
                <w:b/>
              </w:rPr>
            </w:pPr>
            <w:r w:rsidRPr="009715F9">
              <w:rPr>
                <w:b/>
              </w:rPr>
              <w:t>Vedoucí odboru:</w:t>
            </w:r>
          </w:p>
          <w:p w14:paraId="617A80B5" w14:textId="77777777" w:rsidR="00C81630" w:rsidRDefault="00C81630" w:rsidP="00510C30"/>
        </w:tc>
        <w:tc>
          <w:tcPr>
            <w:tcW w:w="6862" w:type="dxa"/>
            <w:hideMark/>
          </w:tcPr>
          <w:p w14:paraId="33A8789F" w14:textId="77777777" w:rsidR="00C81630" w:rsidRDefault="00C81630" w:rsidP="00510C30">
            <w:pPr>
              <w:pStyle w:val="KUJKnormal"/>
            </w:pPr>
            <w:r>
              <w:t>Mgr. Petr Podhola</w:t>
            </w:r>
          </w:p>
        </w:tc>
      </w:tr>
    </w:tbl>
    <w:p w14:paraId="5DB5DCA3" w14:textId="77777777" w:rsidR="00C81630" w:rsidRDefault="00C81630" w:rsidP="00A7369E">
      <w:pPr>
        <w:pStyle w:val="KUJKnormal"/>
      </w:pPr>
    </w:p>
    <w:p w14:paraId="24DE48EF" w14:textId="77777777" w:rsidR="00C81630" w:rsidRPr="0052161F" w:rsidRDefault="00C81630" w:rsidP="00A7369E">
      <w:pPr>
        <w:pStyle w:val="KUJKtucny"/>
      </w:pPr>
      <w:r w:rsidRPr="0052161F">
        <w:t>NÁVRH USNESENÍ</w:t>
      </w:r>
    </w:p>
    <w:p w14:paraId="7EA0CBFE" w14:textId="77777777" w:rsidR="00C81630" w:rsidRDefault="00C81630" w:rsidP="00A7369E">
      <w:pPr>
        <w:pStyle w:val="KUJKnormal"/>
        <w:rPr>
          <w:rFonts w:ascii="Calibri" w:hAnsi="Calibri" w:cs="Calibri"/>
          <w:sz w:val="12"/>
          <w:szCs w:val="12"/>
        </w:rPr>
      </w:pPr>
      <w:bookmarkStart w:id="1" w:name="US_ZaVeVeci"/>
      <w:bookmarkEnd w:id="1"/>
    </w:p>
    <w:p w14:paraId="79BEC0F0" w14:textId="77777777" w:rsidR="00C81630" w:rsidRPr="00841DFC" w:rsidRDefault="00C81630" w:rsidP="00A7369E">
      <w:pPr>
        <w:pStyle w:val="KUJKPolozka"/>
      </w:pPr>
      <w:r w:rsidRPr="00841DFC">
        <w:t>Zastupitelstvo Jihočeského kraje</w:t>
      </w:r>
    </w:p>
    <w:p w14:paraId="25FCA629" w14:textId="77777777" w:rsidR="00C81630" w:rsidRPr="00006936" w:rsidRDefault="00C81630" w:rsidP="00A7369E">
      <w:pPr>
        <w:pStyle w:val="KUJKnormal"/>
        <w:rPr>
          <w:b/>
          <w:bCs/>
        </w:rPr>
      </w:pPr>
      <w:r w:rsidRPr="00006936">
        <w:rPr>
          <w:b/>
          <w:bCs/>
        </w:rPr>
        <w:t>bere na vědomí</w:t>
      </w:r>
    </w:p>
    <w:p w14:paraId="687F26D1" w14:textId="77777777" w:rsidR="00C81630" w:rsidRDefault="00C81630" w:rsidP="00A7369E">
      <w:pPr>
        <w:pStyle w:val="KUJKnormal"/>
      </w:pPr>
      <w:r>
        <w:t>informaci o jednáních Rady Asociace krajů ČR.</w:t>
      </w:r>
    </w:p>
    <w:p w14:paraId="71011B68" w14:textId="77777777" w:rsidR="00C81630" w:rsidRDefault="00C81630" w:rsidP="00A7369E">
      <w:pPr>
        <w:pStyle w:val="KUJKnormal"/>
      </w:pPr>
    </w:p>
    <w:p w14:paraId="52854BCF" w14:textId="77777777" w:rsidR="00C81630" w:rsidRPr="00CB68FD" w:rsidRDefault="00C81630" w:rsidP="00F472DE">
      <w:pPr>
        <w:pStyle w:val="KUJKmezeraDZ"/>
        <w:rPr>
          <w:sz w:val="16"/>
          <w:szCs w:val="16"/>
        </w:rPr>
      </w:pPr>
      <w:bookmarkStart w:id="2" w:name="US_DuvodZprava"/>
      <w:bookmarkEnd w:id="2"/>
    </w:p>
    <w:p w14:paraId="5EBA14BF" w14:textId="77777777" w:rsidR="00C81630" w:rsidRDefault="00C81630" w:rsidP="00F472DE">
      <w:pPr>
        <w:pStyle w:val="KUJKnadpisDZ"/>
      </w:pPr>
      <w:r>
        <w:t>DŮVODOVÁ ZPRÁVA</w:t>
      </w:r>
    </w:p>
    <w:p w14:paraId="23BAC758" w14:textId="77777777" w:rsidR="00C81630" w:rsidRDefault="00C81630" w:rsidP="001C3F39">
      <w:pPr>
        <w:jc w:val="both"/>
        <w:rPr>
          <w:rFonts w:ascii="Arial" w:hAnsi="Arial"/>
          <w:sz w:val="16"/>
          <w:szCs w:val="16"/>
        </w:rPr>
      </w:pPr>
    </w:p>
    <w:p w14:paraId="4F7E3A48" w14:textId="77777777" w:rsidR="00C81630" w:rsidRPr="00CB68FD" w:rsidRDefault="00C81630" w:rsidP="00CB68FD">
      <w:pPr>
        <w:pStyle w:val="KUJKnormal"/>
        <w:rPr>
          <w:rFonts w:cs="Arial"/>
        </w:rPr>
      </w:pPr>
      <w:r w:rsidRPr="00CB68FD">
        <w:rPr>
          <w:rFonts w:cs="Arial"/>
        </w:rPr>
        <w:t xml:space="preserve">Zpráva obsahuje </w:t>
      </w:r>
      <w:r>
        <w:rPr>
          <w:rFonts w:cs="Arial"/>
        </w:rPr>
        <w:t>přehled</w:t>
      </w:r>
      <w:r w:rsidRPr="00CB68FD">
        <w:rPr>
          <w:rFonts w:cs="Arial"/>
        </w:rPr>
        <w:t xml:space="preserve"> jednání Rady AKČR od </w:t>
      </w:r>
      <w:r>
        <w:rPr>
          <w:rFonts w:cs="Arial"/>
        </w:rPr>
        <w:t xml:space="preserve">uzávěrky materiálů pro </w:t>
      </w:r>
      <w:r w:rsidRPr="00CB68FD">
        <w:rPr>
          <w:rFonts w:cs="Arial"/>
        </w:rPr>
        <w:t xml:space="preserve">poslední zasedání zastupitelstva kraje </w:t>
      </w:r>
      <w:r>
        <w:rPr>
          <w:rFonts w:cs="Arial"/>
        </w:rPr>
        <w:t>21</w:t>
      </w:r>
      <w:r w:rsidRPr="00CB68FD">
        <w:rPr>
          <w:rFonts w:cs="Arial"/>
        </w:rPr>
        <w:t>. </w:t>
      </w:r>
      <w:r>
        <w:rPr>
          <w:rFonts w:cs="Arial"/>
        </w:rPr>
        <w:t>4</w:t>
      </w:r>
      <w:r w:rsidRPr="00CB68FD">
        <w:rPr>
          <w:rFonts w:cs="Arial"/>
        </w:rPr>
        <w:t xml:space="preserve">. 2022 </w:t>
      </w:r>
      <w:r w:rsidRPr="00381233">
        <w:rPr>
          <w:rFonts w:cs="Arial"/>
        </w:rPr>
        <w:t>do 6. 5. 2022.</w:t>
      </w:r>
    </w:p>
    <w:p w14:paraId="388EC8A7" w14:textId="77777777" w:rsidR="00C81630" w:rsidRPr="00CB68FD" w:rsidRDefault="00C81630" w:rsidP="00CB68FD">
      <w:pPr>
        <w:jc w:val="both"/>
        <w:rPr>
          <w:rFonts w:ascii="Arial" w:hAnsi="Arial"/>
          <w:sz w:val="16"/>
          <w:szCs w:val="16"/>
        </w:rPr>
      </w:pPr>
    </w:p>
    <w:p w14:paraId="58B4891B" w14:textId="77777777" w:rsidR="00C81630" w:rsidRDefault="00C81630" w:rsidP="00381233">
      <w:pPr>
        <w:jc w:val="both"/>
        <w:rPr>
          <w:rFonts w:ascii="Arial" w:hAnsi="Arial"/>
          <w:sz w:val="20"/>
          <w:szCs w:val="28"/>
        </w:rPr>
      </w:pPr>
      <w:r>
        <w:rPr>
          <w:rFonts w:ascii="Arial" w:hAnsi="Arial"/>
          <w:b/>
          <w:bCs/>
          <w:sz w:val="20"/>
          <w:szCs w:val="28"/>
        </w:rPr>
        <w:t>Pravidelná videokonferenční jednání k uprchlické krizi</w:t>
      </w:r>
      <w:r>
        <w:rPr>
          <w:rFonts w:ascii="Arial" w:hAnsi="Arial"/>
          <w:sz w:val="20"/>
          <w:szCs w:val="28"/>
        </w:rPr>
        <w:t xml:space="preserve"> vyvolané Ruskou invazí na Ukrajinu proběhla ve dnech 19. dubna, 26. dubna, 3. května, 10. května a 17. května. Kromě členů Rady AKČR se jednání účastnili ministr vnitra Vít Rakušan, generální ředitel GŘ HZS generálmajor Vladimír Vlček a další zástupci ministerstva vnitra. Kontinuálně se řešila otázka propojení systému HUMPO s CIS a vytvoření mapy s údaji o absorpční kapacitě v oblasti ubytování, školství, pracovního trhu a zdravotnictví až do úrovně ORP. Dashboard MV poprvé představilo MV na jednání 10. května. Dále byla na programu problematická situace týkající se romských uprchlíků s ukrajinským pasem, nicméně přicházejících zejména z Maďarska za účelem zneužití systému sociální pomoci. Neméně důležitým tématem bylo také financování KACPU. Kraje také delegovaly své zástupce do jednotlivých pracovních týmů, které vznikly pod Strategickou koordinační skupinou ÚKŠ. Celkově pracuje 11 týmů. Předseda Rady AKČR je členem koordinačního týmu s přístupem k dalším oblastem.</w:t>
      </w:r>
    </w:p>
    <w:p w14:paraId="20FCB3DE" w14:textId="77777777" w:rsidR="00C81630" w:rsidRDefault="00C81630" w:rsidP="00381233">
      <w:pPr>
        <w:jc w:val="both"/>
        <w:rPr>
          <w:rFonts w:ascii="Arial" w:hAnsi="Arial"/>
          <w:sz w:val="20"/>
          <w:szCs w:val="28"/>
        </w:rPr>
      </w:pPr>
    </w:p>
    <w:p w14:paraId="198D0412" w14:textId="77777777" w:rsidR="00C81630" w:rsidRDefault="00C81630" w:rsidP="00A81F91">
      <w:pPr>
        <w:jc w:val="both"/>
        <w:rPr>
          <w:rFonts w:ascii="Arial" w:eastAsia="Times New Roman" w:hAnsi="Arial" w:cs="Arial"/>
          <w:sz w:val="20"/>
          <w:szCs w:val="20"/>
          <w:lang w:eastAsia="cs-CZ"/>
        </w:rPr>
      </w:pPr>
      <w:r>
        <w:rPr>
          <w:rFonts w:ascii="Arial" w:hAnsi="Arial" w:cs="Arial"/>
          <w:sz w:val="20"/>
          <w:szCs w:val="20"/>
        </w:rPr>
        <w:t xml:space="preserve">Dne </w:t>
      </w:r>
      <w:r>
        <w:rPr>
          <w:rFonts w:ascii="Arial" w:hAnsi="Arial" w:cs="Arial"/>
          <w:b/>
          <w:bCs/>
          <w:sz w:val="20"/>
          <w:szCs w:val="20"/>
        </w:rPr>
        <w:t>19. dubna</w:t>
      </w:r>
      <w:r>
        <w:rPr>
          <w:rFonts w:ascii="Arial" w:hAnsi="Arial" w:cs="Arial"/>
          <w:sz w:val="20"/>
          <w:szCs w:val="20"/>
        </w:rPr>
        <w:t xml:space="preserve"> proběhlo zasedání </w:t>
      </w:r>
      <w:r>
        <w:rPr>
          <w:rFonts w:ascii="Arial" w:hAnsi="Arial" w:cs="Arial"/>
          <w:b/>
          <w:bCs/>
          <w:sz w:val="20"/>
          <w:szCs w:val="20"/>
        </w:rPr>
        <w:t>pracovní skupiny k problematice oceňování věcných břemen</w:t>
      </w:r>
      <w:r>
        <w:rPr>
          <w:rFonts w:ascii="Arial" w:hAnsi="Arial" w:cs="Arial"/>
          <w:sz w:val="20"/>
          <w:szCs w:val="20"/>
        </w:rPr>
        <w:t xml:space="preserve"> a realizace přeložek a přípojek pro technickou infrastrukturu, o kterém rozhodl předseda Rady AKČR svým usnesením č. 65 ze dne 2.11.2021. </w:t>
      </w:r>
      <w:r>
        <w:rPr>
          <w:rFonts w:ascii="Arial" w:eastAsia="Times New Roman" w:hAnsi="Arial" w:cs="Arial"/>
          <w:sz w:val="20"/>
          <w:szCs w:val="20"/>
          <w:lang w:eastAsia="cs-CZ"/>
        </w:rPr>
        <w:t>Z jednání vyplynul apel na jednotný postup při oceňování věcných břemen pro technickou infrastrukturu, kdy zástupci distributorů (např. ČEZ Distribuce a.s.) předložili návrh dvou základních modelů oceňování věcných břemen pro technickou infrastrukturu:</w:t>
      </w:r>
    </w:p>
    <w:p w14:paraId="51E1F7C3" w14:textId="77777777" w:rsidR="00C81630" w:rsidRDefault="00C81630" w:rsidP="00A81F91">
      <w:pPr>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1/ ocenění prostřednictvím aplikace tzv. E-břemena, kterou distributoři akceptují a jejíž výhodou je nastavení 20% bonifikace do max. výše 20 000,- Kč </w:t>
      </w:r>
    </w:p>
    <w:p w14:paraId="64EAC9C8" w14:textId="77777777" w:rsidR="00C81630" w:rsidRDefault="00C81630" w:rsidP="00A81F91">
      <w:pPr>
        <w:jc w:val="both"/>
        <w:rPr>
          <w:rFonts w:ascii="Arial" w:eastAsia="Times New Roman" w:hAnsi="Arial" w:cs="Arial"/>
          <w:sz w:val="20"/>
          <w:szCs w:val="20"/>
          <w:lang w:eastAsia="cs-CZ"/>
        </w:rPr>
      </w:pPr>
      <w:r>
        <w:rPr>
          <w:rFonts w:ascii="Arial" w:eastAsia="Times New Roman" w:hAnsi="Arial" w:cs="Arial"/>
          <w:sz w:val="20"/>
          <w:szCs w:val="20"/>
          <w:lang w:eastAsia="cs-CZ"/>
        </w:rPr>
        <w:t>nebo</w:t>
      </w:r>
    </w:p>
    <w:p w14:paraId="1E4BE49C" w14:textId="77777777" w:rsidR="00C81630" w:rsidRDefault="00C81630" w:rsidP="00A81F91">
      <w:pPr>
        <w:jc w:val="both"/>
        <w:rPr>
          <w:rFonts w:ascii="Arial" w:eastAsia="Times New Roman" w:hAnsi="Arial" w:cs="Arial"/>
          <w:sz w:val="20"/>
          <w:szCs w:val="20"/>
          <w:lang w:eastAsia="cs-CZ"/>
        </w:rPr>
      </w:pPr>
      <w:r>
        <w:rPr>
          <w:rFonts w:ascii="Arial" w:eastAsia="Times New Roman" w:hAnsi="Arial" w:cs="Arial"/>
          <w:sz w:val="20"/>
          <w:szCs w:val="20"/>
          <w:lang w:eastAsia="cs-CZ"/>
        </w:rPr>
        <w:t>2/ ocenění na základě odborného znaleckého posudku s fixní částkou a bez 20% bonifikace, jehož zpracování hradí distributor.</w:t>
      </w:r>
    </w:p>
    <w:p w14:paraId="608DFE2D" w14:textId="77777777" w:rsidR="00C81630" w:rsidRDefault="00C81630" w:rsidP="00381233">
      <w:pPr>
        <w:spacing w:before="12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V rámci realizace přeložek a přípojek kraji byla deklarována ochota zástupců distributorů jednat a hledat řešení pro zrychlení stavebních prací v oblasti realizací přeložek a přípojek a ze strany distributorů je v této věci zpracovávána právní analýza, která bude AKČR poskytnuta. </w:t>
      </w:r>
    </w:p>
    <w:p w14:paraId="425CE574" w14:textId="77777777" w:rsidR="00C81630" w:rsidRDefault="00C81630" w:rsidP="00381233">
      <w:pPr>
        <w:jc w:val="both"/>
        <w:rPr>
          <w:rFonts w:ascii="Arial" w:eastAsia="Times New Roman" w:hAnsi="Arial" w:cs="Arial"/>
          <w:sz w:val="20"/>
          <w:szCs w:val="20"/>
          <w:lang w:eastAsia="cs-CZ"/>
        </w:rPr>
      </w:pPr>
    </w:p>
    <w:p w14:paraId="00DB7C92" w14:textId="77777777" w:rsidR="00C81630" w:rsidRPr="00381233" w:rsidRDefault="00C81630" w:rsidP="00381233">
      <w:pPr>
        <w:jc w:val="both"/>
        <w:rPr>
          <w:rFonts w:ascii="Arial" w:eastAsia="Times New Roman" w:hAnsi="Arial" w:cs="Arial"/>
          <w:sz w:val="16"/>
          <w:szCs w:val="16"/>
          <w:lang w:eastAsia="cs-CZ"/>
        </w:rPr>
      </w:pPr>
    </w:p>
    <w:p w14:paraId="7F468FF4" w14:textId="77777777" w:rsidR="00C81630" w:rsidRDefault="00C81630" w:rsidP="00381233">
      <w:pPr>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Dne </w:t>
      </w:r>
      <w:r>
        <w:rPr>
          <w:rFonts w:ascii="Arial" w:eastAsia="Times New Roman" w:hAnsi="Arial" w:cs="Arial"/>
          <w:b/>
          <w:bCs/>
          <w:sz w:val="20"/>
          <w:szCs w:val="20"/>
          <w:lang w:eastAsia="cs-CZ"/>
        </w:rPr>
        <w:t>19. dubna</w:t>
      </w:r>
      <w:r>
        <w:rPr>
          <w:rFonts w:ascii="Arial" w:eastAsia="Times New Roman" w:hAnsi="Arial" w:cs="Arial"/>
          <w:sz w:val="20"/>
          <w:szCs w:val="20"/>
          <w:lang w:eastAsia="cs-CZ"/>
        </w:rPr>
        <w:t xml:space="preserve"> se na jednání </w:t>
      </w:r>
      <w:r>
        <w:rPr>
          <w:rFonts w:ascii="Arial" w:eastAsia="Times New Roman" w:hAnsi="Arial" w:cs="Arial"/>
          <w:b/>
          <w:bCs/>
          <w:sz w:val="20"/>
          <w:szCs w:val="20"/>
          <w:lang w:eastAsia="cs-CZ"/>
        </w:rPr>
        <w:t>ÚKŠ</w:t>
      </w:r>
      <w:r>
        <w:rPr>
          <w:rFonts w:ascii="Arial" w:eastAsia="Times New Roman" w:hAnsi="Arial" w:cs="Arial"/>
          <w:sz w:val="20"/>
          <w:szCs w:val="20"/>
          <w:lang w:eastAsia="cs-CZ"/>
        </w:rPr>
        <w:t xml:space="preserve"> projednávala aktuální situace občanů Ukrajiny v ČR a činnost NACPU a KACPU a dalších podpůrných systémů. Řešila se kapacita MŠ a ZŠ v jednotlivých regionech, jaký objem </w:t>
      </w:r>
      <w:r>
        <w:rPr>
          <w:rFonts w:ascii="Arial" w:eastAsia="Times New Roman" w:hAnsi="Arial" w:cs="Arial"/>
          <w:sz w:val="20"/>
          <w:szCs w:val="20"/>
          <w:lang w:eastAsia="cs-CZ"/>
        </w:rPr>
        <w:lastRenderedPageBreak/>
        <w:t xml:space="preserve">ubytovací kapacity využívané KACPU je v ohrožení (rekreační objekty); projednávaly se finanční náklady samospráv a byl vznesen požadavek na dotační programy nebo jiné formy veřejné finanční podpory. HZS ČR byl odprezentován obsah strategického materiálu jako návod pro zvládnutí krize v jednotlivých oblastech. </w:t>
      </w:r>
    </w:p>
    <w:p w14:paraId="510D7635" w14:textId="77777777" w:rsidR="00C81630" w:rsidRDefault="00C81630" w:rsidP="00381233">
      <w:pPr>
        <w:jc w:val="both"/>
        <w:rPr>
          <w:rFonts w:ascii="Arial" w:hAnsi="Arial"/>
          <w:sz w:val="20"/>
          <w:szCs w:val="28"/>
        </w:rPr>
      </w:pPr>
    </w:p>
    <w:p w14:paraId="0C7CAA4C" w14:textId="77777777" w:rsidR="00C81630" w:rsidRDefault="00C81630" w:rsidP="00381233">
      <w:pPr>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Dne </w:t>
      </w:r>
      <w:r>
        <w:rPr>
          <w:rFonts w:ascii="Arial" w:eastAsia="Times New Roman" w:hAnsi="Arial" w:cs="Arial"/>
          <w:b/>
          <w:bCs/>
          <w:sz w:val="20"/>
          <w:szCs w:val="20"/>
          <w:lang w:eastAsia="cs-CZ"/>
        </w:rPr>
        <w:t>25. dubna</w:t>
      </w:r>
      <w:r>
        <w:rPr>
          <w:rFonts w:ascii="Arial" w:eastAsia="Times New Roman" w:hAnsi="Arial" w:cs="Arial"/>
          <w:sz w:val="20"/>
          <w:szCs w:val="20"/>
          <w:lang w:eastAsia="cs-CZ"/>
        </w:rPr>
        <w:t xml:space="preserve"> se projednávala nad rámec předchozích témat problematika romských ukrajinských uprchlíků, úpravy pro vyplácení dávek uprchlíků a spolupráce dotčených resortů s krajskými a obecními samosprávami. </w:t>
      </w:r>
    </w:p>
    <w:p w14:paraId="259DCD53" w14:textId="77777777" w:rsidR="00C81630" w:rsidRDefault="00C81630" w:rsidP="00381233">
      <w:pPr>
        <w:jc w:val="both"/>
        <w:rPr>
          <w:rFonts w:ascii="Arial" w:hAnsi="Arial"/>
          <w:sz w:val="20"/>
          <w:szCs w:val="28"/>
        </w:rPr>
      </w:pPr>
    </w:p>
    <w:p w14:paraId="31DAA6F8" w14:textId="77777777" w:rsidR="00C81630" w:rsidRDefault="00C81630" w:rsidP="00381233">
      <w:pPr>
        <w:jc w:val="both"/>
        <w:rPr>
          <w:rFonts w:ascii="Arial" w:hAnsi="Arial"/>
          <w:sz w:val="20"/>
          <w:szCs w:val="28"/>
        </w:rPr>
      </w:pPr>
      <w:r>
        <w:rPr>
          <w:rFonts w:ascii="Arial" w:hAnsi="Arial"/>
          <w:sz w:val="20"/>
          <w:szCs w:val="28"/>
        </w:rPr>
        <w:t xml:space="preserve">Dne </w:t>
      </w:r>
      <w:r>
        <w:rPr>
          <w:rFonts w:ascii="Arial" w:hAnsi="Arial"/>
          <w:b/>
          <w:bCs/>
          <w:sz w:val="20"/>
          <w:szCs w:val="28"/>
        </w:rPr>
        <w:t>26. dubna</w:t>
      </w:r>
      <w:r>
        <w:rPr>
          <w:rFonts w:ascii="Arial" w:hAnsi="Arial"/>
          <w:sz w:val="20"/>
          <w:szCs w:val="28"/>
        </w:rPr>
        <w:t xml:space="preserve"> proběhlo </w:t>
      </w:r>
      <w:r>
        <w:rPr>
          <w:rFonts w:ascii="Arial" w:hAnsi="Arial"/>
          <w:b/>
          <w:bCs/>
          <w:sz w:val="20"/>
          <w:szCs w:val="28"/>
        </w:rPr>
        <w:t>videokonferenční</w:t>
      </w:r>
      <w:r>
        <w:rPr>
          <w:rFonts w:ascii="Arial" w:hAnsi="Arial"/>
          <w:sz w:val="20"/>
          <w:szCs w:val="28"/>
        </w:rPr>
        <w:t xml:space="preserve"> </w:t>
      </w:r>
      <w:r>
        <w:rPr>
          <w:rFonts w:ascii="Arial" w:hAnsi="Arial"/>
          <w:b/>
          <w:bCs/>
          <w:sz w:val="20"/>
          <w:szCs w:val="28"/>
        </w:rPr>
        <w:t>jednání s Ministerstvem zdravotnictví ČR</w:t>
      </w:r>
      <w:r>
        <w:rPr>
          <w:rFonts w:ascii="Arial" w:hAnsi="Arial"/>
          <w:sz w:val="20"/>
          <w:szCs w:val="28"/>
        </w:rPr>
        <w:t xml:space="preserve">. MZD vyjádřilo zájem představit krajům novou koncepci fungování hygienických stanic. Seznámilo kraje s iniciativou novelizovat zákon č. 258/2000 Sb., o ochraně veřejného zdraví. K tomuto kroku se MZD rozhodlo po vyhodnocení některých dopadů pandemie onemocnění COVID-19. Plánuje </w:t>
      </w:r>
      <w:r>
        <w:rPr>
          <w:rFonts w:ascii="Arial" w:hAnsi="Arial"/>
          <w:b/>
          <w:bCs/>
          <w:sz w:val="20"/>
          <w:szCs w:val="28"/>
        </w:rPr>
        <w:t>centralizaci fungování krajských hygienických stanic</w:t>
      </w:r>
      <w:r>
        <w:rPr>
          <w:rFonts w:ascii="Arial" w:hAnsi="Arial"/>
          <w:sz w:val="20"/>
          <w:szCs w:val="28"/>
        </w:rPr>
        <w:t xml:space="preserve">, a to na příkladu fungování Státní veterinární správy. Dále by došlo ke sloučení obou poboček Státního zdravotního ústavu. Kraje případné změny podmiňují důkladnou analýzou. Zatím není jasné, jaké pozitiva by měla transformace fungování hygienických stanic přinést. Problémy v čase pandemie onemocnění COVID-19 jsou vnímané spíš jako individuální selhání. Konkrétněji se kraje vyjádří, až obdrží věcný návrh zákona. </w:t>
      </w:r>
    </w:p>
    <w:p w14:paraId="2C444C51" w14:textId="77777777" w:rsidR="00C81630" w:rsidRDefault="00C81630" w:rsidP="00381233">
      <w:pPr>
        <w:jc w:val="both"/>
        <w:rPr>
          <w:rFonts w:ascii="Arial" w:hAnsi="Arial"/>
          <w:sz w:val="20"/>
          <w:szCs w:val="28"/>
        </w:rPr>
      </w:pPr>
      <w:r>
        <w:rPr>
          <w:rFonts w:ascii="Arial" w:hAnsi="Arial"/>
          <w:sz w:val="20"/>
          <w:szCs w:val="28"/>
        </w:rPr>
        <w:t xml:space="preserve">Členové Rady AKČR zároveň využili přítomnosti ministra zdravotnictví Vladimíra Válka a opakovaně akcentovali nutnost </w:t>
      </w:r>
      <w:r>
        <w:rPr>
          <w:rFonts w:ascii="Arial" w:hAnsi="Arial"/>
          <w:b/>
          <w:bCs/>
          <w:sz w:val="20"/>
          <w:szCs w:val="28"/>
        </w:rPr>
        <w:t>řešit situaci kolem zásob monoklonálních protilátek</w:t>
      </w:r>
      <w:r>
        <w:rPr>
          <w:rFonts w:ascii="Arial" w:hAnsi="Arial"/>
          <w:sz w:val="20"/>
          <w:szCs w:val="28"/>
        </w:rPr>
        <w:t xml:space="preserve"> v krajských nemocnicích. Pro řadu krajů se jedná o významné finanční prostředky, což podtrhuje nyní ještě skutečnost potřeby financování nákladů na řešení aktuální krizové situace vyvolané ruskou agresí vůči Ukrajině. Tato situace vyžaduje nalezení co nejrychlejšího řešení a proplacení uvedených nákladů vynaložených zcela účelově v zájmu ochrany veřejného zdraví a celorepublikově koordinovaného zvládání pandemie COVID-19, a to na základě pokynu centrální úrovně řízení.</w:t>
      </w:r>
    </w:p>
    <w:p w14:paraId="53307932" w14:textId="77777777" w:rsidR="00C81630" w:rsidRDefault="00C81630" w:rsidP="00381233">
      <w:pPr>
        <w:jc w:val="both"/>
        <w:rPr>
          <w:rFonts w:ascii="Arial" w:hAnsi="Arial"/>
          <w:sz w:val="20"/>
          <w:szCs w:val="28"/>
        </w:rPr>
      </w:pPr>
    </w:p>
    <w:p w14:paraId="05A64EBB" w14:textId="77777777" w:rsidR="00C81630" w:rsidRDefault="00C81630" w:rsidP="00381233">
      <w:pPr>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Dne </w:t>
      </w:r>
      <w:r>
        <w:rPr>
          <w:rFonts w:ascii="Arial" w:eastAsia="Times New Roman" w:hAnsi="Arial" w:cs="Arial"/>
          <w:b/>
          <w:bCs/>
          <w:sz w:val="20"/>
          <w:szCs w:val="20"/>
          <w:lang w:eastAsia="cs-CZ"/>
        </w:rPr>
        <w:t>2. května</w:t>
      </w:r>
      <w:r>
        <w:rPr>
          <w:rFonts w:ascii="Arial" w:eastAsia="Times New Roman" w:hAnsi="Arial" w:cs="Arial"/>
          <w:sz w:val="20"/>
          <w:szCs w:val="20"/>
          <w:lang w:eastAsia="cs-CZ"/>
        </w:rPr>
        <w:t xml:space="preserve"> projednával </w:t>
      </w:r>
      <w:r>
        <w:rPr>
          <w:rFonts w:ascii="Arial" w:eastAsia="Times New Roman" w:hAnsi="Arial" w:cs="Arial"/>
          <w:b/>
          <w:bCs/>
          <w:sz w:val="20"/>
          <w:szCs w:val="20"/>
          <w:lang w:eastAsia="cs-CZ"/>
        </w:rPr>
        <w:t>ÚKŠ</w:t>
      </w:r>
      <w:r>
        <w:rPr>
          <w:rFonts w:ascii="Arial" w:eastAsia="Times New Roman" w:hAnsi="Arial" w:cs="Arial"/>
          <w:sz w:val="20"/>
          <w:szCs w:val="20"/>
          <w:lang w:eastAsia="cs-CZ"/>
        </w:rPr>
        <w:t xml:space="preserve"> mimo jiné i skutečnost, že vláda ČR 27. 4. schválila status pracovní Strategické skupiny, která dopracuje strategický materiál jako návod pro zvládnutí krize v jednotlivých oblastech, schválila zkrácení doby pro registraci uprchlíků na 3 dny, mimořádný dotační titul v oblasti sociálních služeb pro rok 2022 a schválila ukončení pandemické pohotovosti (zrušení všech opatření kvůli pandemii COVID-19). Projednaly se stále pokračující potíže s ubytováním romských ukrajinských uprchlíků (skupin) a byl shrnut stav fungování systému HUMPO. </w:t>
      </w:r>
    </w:p>
    <w:p w14:paraId="58270E0F" w14:textId="77777777" w:rsidR="00C81630" w:rsidRDefault="00C81630" w:rsidP="00381233">
      <w:pPr>
        <w:jc w:val="both"/>
        <w:rPr>
          <w:rFonts w:ascii="Arial" w:eastAsia="Times New Roman" w:hAnsi="Arial" w:cs="Arial"/>
          <w:sz w:val="20"/>
          <w:szCs w:val="20"/>
          <w:lang w:eastAsia="cs-CZ"/>
        </w:rPr>
      </w:pPr>
    </w:p>
    <w:p w14:paraId="6D534324" w14:textId="77777777" w:rsidR="00C81630" w:rsidRDefault="00C81630" w:rsidP="00381233">
      <w:pPr>
        <w:jc w:val="both"/>
        <w:rPr>
          <w:rFonts w:ascii="Arial" w:hAnsi="Arial"/>
          <w:sz w:val="20"/>
          <w:szCs w:val="28"/>
        </w:rPr>
      </w:pPr>
      <w:r>
        <w:rPr>
          <w:rFonts w:ascii="Arial" w:eastAsia="Times New Roman" w:hAnsi="Arial" w:cs="Arial"/>
          <w:sz w:val="20"/>
          <w:szCs w:val="20"/>
          <w:lang w:eastAsia="cs-CZ"/>
        </w:rPr>
        <w:t xml:space="preserve">Dne </w:t>
      </w:r>
      <w:r>
        <w:rPr>
          <w:rFonts w:ascii="Arial" w:eastAsia="Times New Roman" w:hAnsi="Arial" w:cs="Arial"/>
          <w:b/>
          <w:bCs/>
          <w:sz w:val="20"/>
          <w:szCs w:val="20"/>
          <w:lang w:eastAsia="cs-CZ"/>
        </w:rPr>
        <w:t>9. května</w:t>
      </w:r>
      <w:r>
        <w:rPr>
          <w:rFonts w:ascii="Arial" w:eastAsia="Times New Roman" w:hAnsi="Arial" w:cs="Arial"/>
          <w:sz w:val="20"/>
          <w:szCs w:val="20"/>
          <w:lang w:eastAsia="cs-CZ"/>
        </w:rPr>
        <w:t xml:space="preserve"> </w:t>
      </w:r>
      <w:r>
        <w:rPr>
          <w:rFonts w:ascii="Arial" w:eastAsia="Times New Roman" w:hAnsi="Arial" w:cs="Arial"/>
          <w:b/>
          <w:bCs/>
          <w:sz w:val="20"/>
          <w:szCs w:val="20"/>
          <w:lang w:eastAsia="cs-CZ"/>
        </w:rPr>
        <w:t>ÚKŠ</w:t>
      </w:r>
      <w:r>
        <w:rPr>
          <w:rFonts w:ascii="Arial" w:eastAsia="Times New Roman" w:hAnsi="Arial" w:cs="Arial"/>
          <w:sz w:val="20"/>
          <w:szCs w:val="20"/>
          <w:lang w:eastAsia="cs-CZ"/>
        </w:rPr>
        <w:t xml:space="preserve"> prostřednictvím GŘ HZS ČR informoval o propojení informačních systémů HUMPO a CIS. MV chystá zpřísnit opatření na hranicích s ohledem na příchod kriminálně závadových osob z Ukrajiny a MŠMT informovalo o zápisech ukrajinských dětí do ZŠ. Řešila se opět otázka nastavení ubytovávání ukrajinských uprchlíků, jejich povinnosti a povinnosti poskytovatelů ubytování, se zaměřením na romské skupiny.</w:t>
      </w:r>
      <w:r>
        <w:rPr>
          <w:rFonts w:ascii="Arial" w:hAnsi="Arial"/>
          <w:sz w:val="20"/>
          <w:szCs w:val="28"/>
        </w:rPr>
        <w:t xml:space="preserve"> </w:t>
      </w:r>
    </w:p>
    <w:p w14:paraId="2E43B949" w14:textId="77777777" w:rsidR="00C81630" w:rsidRDefault="00C81630" w:rsidP="00381233">
      <w:pPr>
        <w:jc w:val="both"/>
        <w:rPr>
          <w:rFonts w:ascii="Arial" w:hAnsi="Arial"/>
          <w:sz w:val="20"/>
          <w:szCs w:val="28"/>
        </w:rPr>
      </w:pPr>
    </w:p>
    <w:p w14:paraId="7727ED13" w14:textId="77777777" w:rsidR="00C81630" w:rsidRDefault="00C81630" w:rsidP="00381233">
      <w:pPr>
        <w:jc w:val="both"/>
        <w:rPr>
          <w:rFonts w:ascii="Arial" w:hAnsi="Arial"/>
          <w:sz w:val="20"/>
          <w:szCs w:val="28"/>
        </w:rPr>
      </w:pPr>
      <w:r>
        <w:rPr>
          <w:rFonts w:ascii="Arial" w:hAnsi="Arial"/>
          <w:sz w:val="20"/>
          <w:szCs w:val="28"/>
        </w:rPr>
        <w:t xml:space="preserve">Dále dne </w:t>
      </w:r>
      <w:r>
        <w:rPr>
          <w:rFonts w:ascii="Arial" w:hAnsi="Arial"/>
          <w:b/>
          <w:bCs/>
          <w:sz w:val="20"/>
          <w:szCs w:val="28"/>
        </w:rPr>
        <w:t>6. května</w:t>
      </w:r>
      <w:r>
        <w:rPr>
          <w:rFonts w:ascii="Arial" w:hAnsi="Arial"/>
          <w:sz w:val="20"/>
          <w:szCs w:val="28"/>
        </w:rPr>
        <w:t xml:space="preserve"> zasedalo </w:t>
      </w:r>
      <w:r>
        <w:rPr>
          <w:rFonts w:ascii="Arial" w:hAnsi="Arial"/>
          <w:b/>
          <w:bCs/>
          <w:sz w:val="20"/>
          <w:szCs w:val="28"/>
        </w:rPr>
        <w:t>Grémium ředitelů krajských úřadů</w:t>
      </w:r>
      <w:r>
        <w:rPr>
          <w:rFonts w:ascii="Arial" w:hAnsi="Arial"/>
          <w:sz w:val="20"/>
          <w:szCs w:val="28"/>
        </w:rPr>
        <w:t>, které se v návaznosti na předchozí jednání zabývalo problematikou uprchlické vlny obyvatel Ukrajiny způsobené ruskou invazí; ředitelé KÚ se zde především shodli na nezbytnosti větší finanční participace státu na výdajích, které v této souvislosti kraje aktuálně nesou. Dále se zabývali různými průřezovými tématy, s nimiž se v rámci výkonu své funkce setkávají.</w:t>
      </w:r>
    </w:p>
    <w:p w14:paraId="51BEDDA6" w14:textId="77777777" w:rsidR="00C81630" w:rsidRDefault="00C81630" w:rsidP="00381233">
      <w:pPr>
        <w:jc w:val="both"/>
        <w:rPr>
          <w:rFonts w:ascii="Arial" w:hAnsi="Arial"/>
          <w:sz w:val="20"/>
          <w:szCs w:val="28"/>
        </w:rPr>
      </w:pPr>
    </w:p>
    <w:p w14:paraId="224A0AF0" w14:textId="77777777" w:rsidR="00C81630" w:rsidRDefault="00C81630" w:rsidP="00381233">
      <w:pPr>
        <w:jc w:val="both"/>
        <w:rPr>
          <w:rFonts w:ascii="Arial" w:hAnsi="Arial"/>
          <w:sz w:val="16"/>
          <w:szCs w:val="16"/>
        </w:rPr>
      </w:pPr>
    </w:p>
    <w:p w14:paraId="0D9266AB" w14:textId="77777777" w:rsidR="00C81630" w:rsidRDefault="00C81630" w:rsidP="00381233">
      <w:pPr>
        <w:jc w:val="both"/>
        <w:rPr>
          <w:rFonts w:ascii="Arial" w:hAnsi="Arial"/>
          <w:sz w:val="16"/>
          <w:szCs w:val="16"/>
        </w:rPr>
      </w:pPr>
    </w:p>
    <w:p w14:paraId="44795A8E" w14:textId="77777777" w:rsidR="00C81630" w:rsidRDefault="00C81630" w:rsidP="00381233">
      <w:pPr>
        <w:jc w:val="both"/>
        <w:rPr>
          <w:rFonts w:ascii="Arial" w:hAnsi="Arial"/>
          <w:sz w:val="16"/>
          <w:szCs w:val="16"/>
        </w:rPr>
      </w:pPr>
    </w:p>
    <w:p w14:paraId="7E93C868" w14:textId="77777777" w:rsidR="00C81630" w:rsidRDefault="00C81630" w:rsidP="00381233">
      <w:pPr>
        <w:jc w:val="both"/>
        <w:rPr>
          <w:rFonts w:ascii="Arial" w:hAnsi="Arial"/>
          <w:sz w:val="16"/>
          <w:szCs w:val="16"/>
        </w:rPr>
      </w:pPr>
    </w:p>
    <w:p w14:paraId="067C4149" w14:textId="77777777" w:rsidR="00C81630" w:rsidRDefault="00C81630" w:rsidP="00A81F91">
      <w:pPr>
        <w:pStyle w:val="Normlnweb"/>
        <w:shd w:val="clear" w:color="auto" w:fill="FFFFFF"/>
        <w:spacing w:before="0" w:beforeAutospacing="0" w:after="0" w:afterAutospacing="0"/>
        <w:jc w:val="both"/>
        <w:rPr>
          <w:rFonts w:ascii="Arial" w:hAnsi="Arial"/>
          <w:sz w:val="20"/>
          <w:szCs w:val="28"/>
        </w:rPr>
      </w:pPr>
      <w:r>
        <w:rPr>
          <w:rFonts w:ascii="Arial" w:hAnsi="Arial"/>
          <w:sz w:val="20"/>
          <w:szCs w:val="28"/>
        </w:rPr>
        <w:t>Finanční nároky a krytí: nemá dopad do rozpočtu</w:t>
      </w:r>
    </w:p>
    <w:p w14:paraId="67E1389A" w14:textId="77777777" w:rsidR="00C81630" w:rsidRDefault="00C81630" w:rsidP="00A81F91">
      <w:pPr>
        <w:pStyle w:val="Normlnweb"/>
        <w:shd w:val="clear" w:color="auto" w:fill="FFFFFF"/>
        <w:spacing w:before="0" w:beforeAutospacing="0" w:after="0" w:afterAutospacing="0"/>
        <w:jc w:val="both"/>
        <w:rPr>
          <w:rFonts w:ascii="Arial" w:hAnsi="Arial"/>
          <w:sz w:val="20"/>
          <w:szCs w:val="28"/>
        </w:rPr>
      </w:pPr>
      <w:r>
        <w:rPr>
          <w:rFonts w:ascii="Arial" w:hAnsi="Arial"/>
          <w:sz w:val="20"/>
          <w:szCs w:val="28"/>
        </w:rPr>
        <w:t>Vyjádření správce rozpočtu: nebylo vyžádáno</w:t>
      </w:r>
    </w:p>
    <w:p w14:paraId="464556CB" w14:textId="77777777" w:rsidR="00C81630" w:rsidRDefault="00C81630" w:rsidP="00381233">
      <w:pPr>
        <w:spacing w:after="100"/>
        <w:jc w:val="both"/>
        <w:rPr>
          <w:rFonts w:ascii="Arial" w:hAnsi="Arial"/>
          <w:sz w:val="20"/>
          <w:szCs w:val="28"/>
        </w:rPr>
      </w:pPr>
    </w:p>
    <w:p w14:paraId="6D1F8455" w14:textId="77777777" w:rsidR="00C81630" w:rsidRDefault="00C81630" w:rsidP="00381233">
      <w:pPr>
        <w:spacing w:after="100"/>
        <w:jc w:val="both"/>
        <w:rPr>
          <w:rFonts w:ascii="Arial" w:hAnsi="Arial"/>
          <w:sz w:val="20"/>
          <w:szCs w:val="28"/>
        </w:rPr>
      </w:pPr>
      <w:r>
        <w:rPr>
          <w:rFonts w:ascii="Arial" w:hAnsi="Arial"/>
          <w:sz w:val="20"/>
          <w:szCs w:val="28"/>
        </w:rPr>
        <w:t>PŘÍLOHY: bez příloh</w:t>
      </w:r>
    </w:p>
    <w:p w14:paraId="6D24A1DE" w14:textId="77777777" w:rsidR="00C81630" w:rsidRDefault="00C81630" w:rsidP="00381233">
      <w:pPr>
        <w:spacing w:after="100"/>
        <w:jc w:val="both"/>
        <w:rPr>
          <w:rFonts w:ascii="Arial" w:hAnsi="Arial"/>
          <w:b/>
          <w:bCs/>
          <w:sz w:val="20"/>
          <w:szCs w:val="28"/>
        </w:rPr>
      </w:pPr>
    </w:p>
    <w:p w14:paraId="3162BE8E" w14:textId="77777777" w:rsidR="00C81630" w:rsidRDefault="00C81630" w:rsidP="00381233">
      <w:pPr>
        <w:spacing w:after="100"/>
        <w:jc w:val="both"/>
        <w:rPr>
          <w:rFonts w:ascii="Arial" w:hAnsi="Arial"/>
          <w:sz w:val="20"/>
          <w:szCs w:val="28"/>
        </w:rPr>
      </w:pPr>
      <w:r>
        <w:rPr>
          <w:rFonts w:ascii="Arial" w:hAnsi="Arial"/>
          <w:b/>
          <w:bCs/>
          <w:sz w:val="20"/>
          <w:szCs w:val="28"/>
        </w:rPr>
        <w:t>Zodpovídá:</w:t>
      </w:r>
      <w:r>
        <w:rPr>
          <w:rFonts w:ascii="Arial" w:hAnsi="Arial"/>
          <w:sz w:val="20"/>
          <w:szCs w:val="28"/>
        </w:rPr>
        <w:t xml:space="preserve">  vedoucí KHEJ - Mgr. Petr Podhola</w:t>
      </w:r>
    </w:p>
    <w:p w14:paraId="34351FA2" w14:textId="77777777" w:rsidR="00C81630" w:rsidRDefault="00C81630" w:rsidP="00381233">
      <w:pPr>
        <w:jc w:val="both"/>
        <w:rPr>
          <w:rFonts w:ascii="Arial" w:hAnsi="Arial"/>
          <w:sz w:val="20"/>
          <w:szCs w:val="28"/>
        </w:rPr>
      </w:pPr>
    </w:p>
    <w:p w14:paraId="750B5FB7" w14:textId="77777777" w:rsidR="00C81630" w:rsidRDefault="00C81630" w:rsidP="00381233">
      <w:pPr>
        <w:jc w:val="both"/>
        <w:rPr>
          <w:rFonts w:ascii="Arial" w:hAnsi="Arial"/>
          <w:sz w:val="20"/>
          <w:szCs w:val="28"/>
        </w:rPr>
      </w:pPr>
    </w:p>
    <w:p w14:paraId="5063F5D4" w14:textId="77777777" w:rsidR="00C81630" w:rsidRDefault="00C81630" w:rsidP="00381233">
      <w:pPr>
        <w:jc w:val="both"/>
        <w:rPr>
          <w:rFonts w:ascii="Arial" w:hAnsi="Arial"/>
          <w:sz w:val="20"/>
          <w:szCs w:val="28"/>
        </w:rPr>
      </w:pPr>
      <w:r>
        <w:rPr>
          <w:rFonts w:ascii="Arial" w:hAnsi="Arial"/>
          <w:sz w:val="20"/>
          <w:szCs w:val="28"/>
        </w:rPr>
        <w:t xml:space="preserve">Termín kontroly: 19. 05. 2022                </w:t>
      </w:r>
    </w:p>
    <w:p w14:paraId="25DA93B8" w14:textId="77777777" w:rsidR="00C81630" w:rsidRDefault="00C81630" w:rsidP="00381233">
      <w:pPr>
        <w:jc w:val="both"/>
      </w:pPr>
      <w:r>
        <w:rPr>
          <w:rFonts w:ascii="Arial" w:hAnsi="Arial"/>
          <w:sz w:val="20"/>
          <w:szCs w:val="28"/>
        </w:rPr>
        <w:t>Termín splnění: 19. 05. 2022</w:t>
      </w:r>
    </w:p>
    <w:p w14:paraId="4D61BB2E" w14:textId="77777777" w:rsidR="00C81630" w:rsidRDefault="00C81630" w:rsidP="00C501BF">
      <w:pPr>
        <w:pStyle w:val="Normlnweb"/>
        <w:shd w:val="clear" w:color="auto" w:fill="FFFFFF"/>
        <w:spacing w:before="0" w:beforeAutospacing="0"/>
        <w:jc w:val="both"/>
        <w:rPr>
          <w:rFonts w:ascii="Arial" w:hAnsi="Arial"/>
          <w:sz w:val="16"/>
          <w:szCs w:val="16"/>
        </w:rPr>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CA6E" w14:textId="77777777" w:rsidR="00C81630" w:rsidRDefault="00C81630" w:rsidP="00C81630">
    <w:r>
      <w:rPr>
        <w:noProof/>
      </w:rPr>
      <w:pict w14:anchorId="017A54AB">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A2D430B" w14:textId="77777777" w:rsidR="00C81630" w:rsidRPr="005F485E" w:rsidRDefault="00C81630" w:rsidP="00C81630">
                <w:pPr>
                  <w:spacing w:after="60"/>
                  <w:rPr>
                    <w:rFonts w:ascii="Arial" w:hAnsi="Arial" w:cs="Arial"/>
                    <w:b/>
                    <w:sz w:val="22"/>
                  </w:rPr>
                </w:pPr>
                <w:r w:rsidRPr="005F485E">
                  <w:rPr>
                    <w:rFonts w:ascii="Arial" w:hAnsi="Arial" w:cs="Arial"/>
                    <w:b/>
                    <w:sz w:val="22"/>
                  </w:rPr>
                  <w:t>ZASTUPITELSTVO JIHOČESKÉHO KRAJE</w:t>
                </w:r>
              </w:p>
              <w:p w14:paraId="5571BE7C" w14:textId="77777777" w:rsidR="00C81630" w:rsidRPr="005F485E" w:rsidRDefault="00C81630" w:rsidP="00C81630">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D0EC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BBDCBE1" w14:textId="77777777" w:rsidR="00C81630" w:rsidRDefault="00C81630" w:rsidP="00C81630">
    <w:r>
      <w:pict w14:anchorId="4C274921">
        <v:rect id="_x0000_i1026" style="width:481.9pt;height:2pt" o:hralign="center" o:hrstd="t" o:hrnoshade="t" o:hr="t" fillcolor="black" stroked="f"/>
      </w:pict>
    </w:r>
  </w:p>
  <w:p w14:paraId="59ABB6B0" w14:textId="77777777" w:rsidR="00C81630" w:rsidRPr="00C81630" w:rsidRDefault="00C81630" w:rsidP="00C8163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12480543">
    <w:abstractNumId w:val="1"/>
  </w:num>
  <w:num w:numId="2" w16cid:durableId="1477801073">
    <w:abstractNumId w:val="2"/>
  </w:num>
  <w:num w:numId="3" w16cid:durableId="1243180312">
    <w:abstractNumId w:val="9"/>
  </w:num>
  <w:num w:numId="4" w16cid:durableId="1521509975">
    <w:abstractNumId w:val="7"/>
  </w:num>
  <w:num w:numId="5" w16cid:durableId="1336569613">
    <w:abstractNumId w:val="0"/>
  </w:num>
  <w:num w:numId="6" w16cid:durableId="1023359508">
    <w:abstractNumId w:val="3"/>
  </w:num>
  <w:num w:numId="7" w16cid:durableId="178787200">
    <w:abstractNumId w:val="6"/>
  </w:num>
  <w:num w:numId="8" w16cid:durableId="985284721">
    <w:abstractNumId w:val="4"/>
  </w:num>
  <w:num w:numId="9" w16cid:durableId="1941061834">
    <w:abstractNumId w:val="5"/>
  </w:num>
  <w:num w:numId="10" w16cid:durableId="1017849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630"/>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Normlnweb">
    <w:name w:val="Normal (Web)"/>
    <w:basedOn w:val="Normln"/>
    <w:uiPriority w:val="99"/>
    <w:unhideWhenUsed/>
    <w:rsid w:val="00C81630"/>
    <w:pPr>
      <w:spacing w:before="100" w:beforeAutospacing="1" w:after="100" w:afterAutospacing="1"/>
    </w:pPr>
    <w:rPr>
      <w:rFonts w:eastAsia="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5486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2022-06-02T05:32:00Z</dcterms:created>
  <dcterms:modified xsi:type="dcterms:W3CDTF">2022-06-02T05:32:00Z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5824870</vt:i4>
  </property>
  <property fmtid="{D5CDD505-2E9C-101B-9397-08002B2CF9AE}" pid="3" name="ID_Navrh">
    <vt:i4>5931633</vt:i4>
  </property>
  <property fmtid="{D5CDD505-2E9C-101B-9397-08002B2CF9AE}" pid="4" name="UlozitJako">
    <vt:lpwstr>C:\Users\mrazkova\AppData\Local\Temp\iU57777040\Zastupitelstvo\2022-05-19\Navrhy\166-ZK-22.</vt:lpwstr>
  </property>
  <property fmtid="{D5CDD505-2E9C-101B-9397-08002B2CF9AE}" pid="5" name="Zpracovat">
    <vt:bool>false</vt:bool>
  </property>
</Properties>
</file>