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A76AC" w14:paraId="23BC2EA3" w14:textId="77777777" w:rsidTr="003E1417">
        <w:trPr>
          <w:trHeight w:hRule="exact" w:val="397"/>
        </w:trPr>
        <w:tc>
          <w:tcPr>
            <w:tcW w:w="2376" w:type="dxa"/>
            <w:hideMark/>
          </w:tcPr>
          <w:p w14:paraId="161D0376" w14:textId="77777777" w:rsidR="00AA76AC" w:rsidRDefault="00AA76AC" w:rsidP="00AC3D27">
            <w:pPr>
              <w:pStyle w:val="KUJKtucny"/>
            </w:pPr>
            <w:r>
              <w:t>Datum jednání:</w:t>
            </w:r>
          </w:p>
        </w:tc>
        <w:tc>
          <w:tcPr>
            <w:tcW w:w="3828" w:type="dxa"/>
            <w:hideMark/>
          </w:tcPr>
          <w:p w14:paraId="721A74FF" w14:textId="77777777" w:rsidR="00AA76AC" w:rsidRDefault="00AA76AC" w:rsidP="00AC3D27">
            <w:pPr>
              <w:pStyle w:val="KUJKnormal"/>
            </w:pPr>
            <w:r>
              <w:t>20. 10. 2021</w:t>
            </w:r>
          </w:p>
        </w:tc>
        <w:tc>
          <w:tcPr>
            <w:tcW w:w="2126" w:type="dxa"/>
            <w:hideMark/>
          </w:tcPr>
          <w:p w14:paraId="7C073E23" w14:textId="77777777" w:rsidR="00AA76AC" w:rsidRDefault="00AA76AC" w:rsidP="00AC3D27">
            <w:pPr>
              <w:pStyle w:val="KUJKtucny"/>
            </w:pPr>
            <w:r>
              <w:t>Bod programu:</w:t>
            </w:r>
          </w:p>
        </w:tc>
        <w:tc>
          <w:tcPr>
            <w:tcW w:w="850" w:type="dxa"/>
          </w:tcPr>
          <w:p w14:paraId="3CE7CD4F" w14:textId="77777777" w:rsidR="00AA76AC" w:rsidRDefault="00AA76AC" w:rsidP="00AC3D27">
            <w:pPr>
              <w:pStyle w:val="KUJKnormal"/>
            </w:pPr>
          </w:p>
        </w:tc>
      </w:tr>
      <w:tr w:rsidR="00AA76AC" w14:paraId="1E512916" w14:textId="77777777" w:rsidTr="003E1417">
        <w:trPr>
          <w:cantSplit/>
          <w:trHeight w:hRule="exact" w:val="397"/>
        </w:trPr>
        <w:tc>
          <w:tcPr>
            <w:tcW w:w="2376" w:type="dxa"/>
            <w:hideMark/>
          </w:tcPr>
          <w:p w14:paraId="0555DC04" w14:textId="77777777" w:rsidR="00AA76AC" w:rsidRDefault="00AA76AC" w:rsidP="00AC3D27">
            <w:pPr>
              <w:pStyle w:val="KUJKtucny"/>
            </w:pPr>
            <w:r>
              <w:t>Číslo návrhu:</w:t>
            </w:r>
          </w:p>
        </w:tc>
        <w:tc>
          <w:tcPr>
            <w:tcW w:w="6804" w:type="dxa"/>
            <w:gridSpan w:val="3"/>
            <w:hideMark/>
          </w:tcPr>
          <w:p w14:paraId="49E62CCA" w14:textId="77777777" w:rsidR="00AA76AC" w:rsidRDefault="00AA76AC" w:rsidP="00AC3D27">
            <w:pPr>
              <w:pStyle w:val="KUJKnormal"/>
            </w:pPr>
            <w:r>
              <w:t>389/ZK/21</w:t>
            </w:r>
          </w:p>
        </w:tc>
      </w:tr>
      <w:tr w:rsidR="00AA76AC" w14:paraId="4A145E77" w14:textId="77777777" w:rsidTr="003E1417">
        <w:trPr>
          <w:trHeight w:val="397"/>
        </w:trPr>
        <w:tc>
          <w:tcPr>
            <w:tcW w:w="2376" w:type="dxa"/>
          </w:tcPr>
          <w:p w14:paraId="2AA1F375" w14:textId="77777777" w:rsidR="00AA76AC" w:rsidRDefault="00AA76AC" w:rsidP="00AC3D27"/>
          <w:p w14:paraId="22058767" w14:textId="77777777" w:rsidR="00AA76AC" w:rsidRDefault="00AA76AC" w:rsidP="00AC3D27">
            <w:pPr>
              <w:pStyle w:val="KUJKtucny"/>
            </w:pPr>
            <w:r>
              <w:t>Název bodu:</w:t>
            </w:r>
          </w:p>
        </w:tc>
        <w:tc>
          <w:tcPr>
            <w:tcW w:w="6804" w:type="dxa"/>
            <w:gridSpan w:val="3"/>
          </w:tcPr>
          <w:p w14:paraId="4928413A" w14:textId="77777777" w:rsidR="00AA76AC" w:rsidRDefault="00AA76AC" w:rsidP="00AC3D27"/>
          <w:p w14:paraId="285B1A80" w14:textId="77777777" w:rsidR="00AA76AC" w:rsidRDefault="00AA76AC" w:rsidP="00AC3D27">
            <w:pPr>
              <w:pStyle w:val="KUJKtucny"/>
              <w:rPr>
                <w:sz w:val="22"/>
                <w:szCs w:val="22"/>
              </w:rPr>
            </w:pPr>
            <w:r>
              <w:rPr>
                <w:sz w:val="22"/>
                <w:szCs w:val="22"/>
              </w:rPr>
              <w:t>Poskytnutí daru na podporu mobilní specializované paliativní péče v Jihočeském kraji</w:t>
            </w:r>
          </w:p>
        </w:tc>
      </w:tr>
    </w:tbl>
    <w:p w14:paraId="0A78DD64" w14:textId="77777777" w:rsidR="00AA76AC" w:rsidRDefault="00AA76AC" w:rsidP="003E1417">
      <w:pPr>
        <w:pStyle w:val="KUJKnormal"/>
        <w:rPr>
          <w:b/>
          <w:bCs/>
        </w:rPr>
      </w:pPr>
      <w:r>
        <w:rPr>
          <w:b/>
          <w:bCs/>
        </w:rPr>
        <w:pict w14:anchorId="564E5DB4">
          <v:rect id="_x0000_i1029" style="width:453.6pt;height:1.5pt" o:hralign="center" o:hrstd="t" o:hrnoshade="t" o:hr="t" fillcolor="black" stroked="f"/>
        </w:pict>
      </w:r>
    </w:p>
    <w:p w14:paraId="59D1F6DB" w14:textId="77777777" w:rsidR="00AA76AC" w:rsidRDefault="00AA76AC" w:rsidP="003E1417">
      <w:pPr>
        <w:pStyle w:val="KUJKnormal"/>
      </w:pPr>
    </w:p>
    <w:p w14:paraId="66F80BDE" w14:textId="77777777" w:rsidR="00AA76AC" w:rsidRDefault="00AA76AC" w:rsidP="003E141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A76AC" w14:paraId="4717C826" w14:textId="77777777" w:rsidTr="00AC3D27">
        <w:trPr>
          <w:trHeight w:val="397"/>
        </w:trPr>
        <w:tc>
          <w:tcPr>
            <w:tcW w:w="2350" w:type="dxa"/>
            <w:hideMark/>
          </w:tcPr>
          <w:p w14:paraId="54EC3B75" w14:textId="77777777" w:rsidR="00AA76AC" w:rsidRDefault="00AA76AC" w:rsidP="00AC3D27">
            <w:pPr>
              <w:pStyle w:val="KUJKtucny"/>
            </w:pPr>
            <w:r>
              <w:t>Předkladatel:</w:t>
            </w:r>
          </w:p>
        </w:tc>
        <w:tc>
          <w:tcPr>
            <w:tcW w:w="6862" w:type="dxa"/>
          </w:tcPr>
          <w:p w14:paraId="05B1E25B" w14:textId="77777777" w:rsidR="00AA76AC" w:rsidRDefault="00AA76AC" w:rsidP="00AC3D27">
            <w:pPr>
              <w:pStyle w:val="KUJKnormal"/>
            </w:pPr>
            <w:r>
              <w:t>MUDr. Martin Kuba</w:t>
            </w:r>
          </w:p>
          <w:p w14:paraId="14457149" w14:textId="77777777" w:rsidR="00AA76AC" w:rsidRDefault="00AA76AC" w:rsidP="00AC3D27"/>
        </w:tc>
      </w:tr>
      <w:tr w:rsidR="00AA76AC" w14:paraId="3A6C1CA5" w14:textId="77777777" w:rsidTr="00AC3D27">
        <w:trPr>
          <w:trHeight w:val="397"/>
        </w:trPr>
        <w:tc>
          <w:tcPr>
            <w:tcW w:w="2350" w:type="dxa"/>
          </w:tcPr>
          <w:p w14:paraId="76663058" w14:textId="77777777" w:rsidR="00AA76AC" w:rsidRDefault="00AA76AC" w:rsidP="00AC3D27">
            <w:pPr>
              <w:pStyle w:val="KUJKtucny"/>
            </w:pPr>
            <w:r>
              <w:t>Zpracoval:</w:t>
            </w:r>
          </w:p>
          <w:p w14:paraId="4959984E" w14:textId="77777777" w:rsidR="00AA76AC" w:rsidRDefault="00AA76AC" w:rsidP="00AC3D27"/>
        </w:tc>
        <w:tc>
          <w:tcPr>
            <w:tcW w:w="6862" w:type="dxa"/>
            <w:hideMark/>
          </w:tcPr>
          <w:p w14:paraId="0D34B764" w14:textId="77777777" w:rsidR="00AA76AC" w:rsidRDefault="00AA76AC" w:rsidP="00AC3D27">
            <w:pPr>
              <w:pStyle w:val="KUJKnormal"/>
            </w:pPr>
            <w:r>
              <w:t>OZDR</w:t>
            </w:r>
          </w:p>
        </w:tc>
      </w:tr>
      <w:tr w:rsidR="00AA76AC" w14:paraId="03DD2224" w14:textId="77777777" w:rsidTr="00AC3D27">
        <w:trPr>
          <w:trHeight w:val="397"/>
        </w:trPr>
        <w:tc>
          <w:tcPr>
            <w:tcW w:w="2350" w:type="dxa"/>
          </w:tcPr>
          <w:p w14:paraId="6093AAF3" w14:textId="77777777" w:rsidR="00AA76AC" w:rsidRPr="009715F9" w:rsidRDefault="00AA76AC" w:rsidP="00AC3D27">
            <w:pPr>
              <w:pStyle w:val="KUJKnormal"/>
              <w:rPr>
                <w:b/>
              </w:rPr>
            </w:pPr>
            <w:r w:rsidRPr="009715F9">
              <w:rPr>
                <w:b/>
              </w:rPr>
              <w:t>Vedoucí odboru:</w:t>
            </w:r>
          </w:p>
          <w:p w14:paraId="1C121148" w14:textId="77777777" w:rsidR="00AA76AC" w:rsidRDefault="00AA76AC" w:rsidP="00AC3D27"/>
        </w:tc>
        <w:tc>
          <w:tcPr>
            <w:tcW w:w="6862" w:type="dxa"/>
            <w:hideMark/>
          </w:tcPr>
          <w:p w14:paraId="7C2DCB4C" w14:textId="77777777" w:rsidR="00AA76AC" w:rsidRDefault="00AA76AC" w:rsidP="00AC3D27">
            <w:pPr>
              <w:pStyle w:val="KUJKnormal"/>
            </w:pPr>
            <w:r>
              <w:t>Mgr. Petr Studenovský</w:t>
            </w:r>
          </w:p>
        </w:tc>
      </w:tr>
    </w:tbl>
    <w:p w14:paraId="5573788C" w14:textId="77777777" w:rsidR="00AA76AC" w:rsidRDefault="00AA76AC" w:rsidP="003E1417">
      <w:pPr>
        <w:pStyle w:val="KUJKnormal"/>
      </w:pPr>
    </w:p>
    <w:p w14:paraId="49E478E9" w14:textId="77777777" w:rsidR="00AA76AC" w:rsidRPr="0052161F" w:rsidRDefault="00AA76AC" w:rsidP="003E1417">
      <w:pPr>
        <w:pStyle w:val="KUJKtucny"/>
      </w:pPr>
      <w:r w:rsidRPr="0052161F">
        <w:t>NÁVRH USNESENÍ</w:t>
      </w:r>
    </w:p>
    <w:p w14:paraId="5CFF6B9E" w14:textId="77777777" w:rsidR="00AA76AC" w:rsidRDefault="00AA76AC" w:rsidP="003E1417">
      <w:pPr>
        <w:pStyle w:val="KUJKnormal"/>
        <w:rPr>
          <w:rFonts w:ascii="Calibri" w:hAnsi="Calibri" w:cs="Calibri"/>
          <w:sz w:val="12"/>
          <w:szCs w:val="12"/>
        </w:rPr>
      </w:pPr>
      <w:bookmarkStart w:id="1" w:name="US_ZaVeVeci"/>
      <w:bookmarkEnd w:id="1"/>
    </w:p>
    <w:p w14:paraId="4DD07898" w14:textId="77777777" w:rsidR="00AA76AC" w:rsidRPr="00841DFC" w:rsidRDefault="00AA76AC" w:rsidP="00AA76AC">
      <w:pPr>
        <w:pStyle w:val="KUJKPolozka"/>
        <w:spacing w:line="240" w:lineRule="auto"/>
      </w:pPr>
      <w:r w:rsidRPr="00841DFC">
        <w:t>Zastupitelstvo Jihočeského kraje</w:t>
      </w:r>
    </w:p>
    <w:p w14:paraId="51AF4425" w14:textId="77777777" w:rsidR="00AA76AC" w:rsidRPr="00E10FE7" w:rsidRDefault="00AA76AC" w:rsidP="00AA76AC">
      <w:pPr>
        <w:pStyle w:val="KUJKdoplnek2"/>
        <w:spacing w:line="240" w:lineRule="auto"/>
      </w:pPr>
      <w:r w:rsidRPr="00AF7BAE">
        <w:t>schvaluje</w:t>
      </w:r>
    </w:p>
    <w:p w14:paraId="4BD632FB" w14:textId="77777777" w:rsidR="00AA76AC" w:rsidRDefault="00AA76AC" w:rsidP="000412EB">
      <w:pPr>
        <w:pStyle w:val="KUJKnormal"/>
      </w:pPr>
      <w:r>
        <w:t>1. poskytnutí finančního daru na podporu mobilní specializované paliativní péče v Jihočeském kraji poskytovatelům těchto zdravotních služeb v celkové výši 4 150 000,00 Kč v rozdělení dle tabulky uvedené v důvodové zprávě návrhu č. 389/ZK/21,</w:t>
      </w:r>
    </w:p>
    <w:p w14:paraId="736EA477" w14:textId="77777777" w:rsidR="00AA76AC" w:rsidRDefault="00AA76AC" w:rsidP="000412EB">
      <w:pPr>
        <w:pStyle w:val="KUJKnormal"/>
      </w:pPr>
      <w:r>
        <w:t>2. uzavření darovacích smluv dle vzoru v příloze návrhu č. 389/ZK/21 na poskytnutí finančního daru poskytovatelům mobilní specializované paliativní péče v Jihočeském kraji;</w:t>
      </w:r>
    </w:p>
    <w:p w14:paraId="76A86EE6" w14:textId="77777777" w:rsidR="00AA76AC" w:rsidRDefault="00AA76AC" w:rsidP="00AA76AC">
      <w:pPr>
        <w:pStyle w:val="KUJKdoplnek2"/>
        <w:spacing w:line="240" w:lineRule="auto"/>
      </w:pPr>
      <w:r w:rsidRPr="0021676C">
        <w:t>ukládá</w:t>
      </w:r>
    </w:p>
    <w:p w14:paraId="36B36F8E" w14:textId="77777777" w:rsidR="00AA76AC" w:rsidRDefault="00AA76AC" w:rsidP="000412EB">
      <w:pPr>
        <w:pStyle w:val="KUJKnormal"/>
      </w:pPr>
      <w:r>
        <w:t>JUDr. Lukáši Glaserovi, řediteli krajského úřadu, zabezpečit provedení potřebných úkonů vedoucích k realizaci části I. usnesení.</w:t>
      </w:r>
    </w:p>
    <w:p w14:paraId="1CCB7A1F" w14:textId="77777777" w:rsidR="00AA76AC" w:rsidRDefault="00AA76AC" w:rsidP="000412EB">
      <w:pPr>
        <w:pStyle w:val="KUJKnormal"/>
      </w:pPr>
      <w:r>
        <w:t>T: 30. 11. 2021</w:t>
      </w:r>
    </w:p>
    <w:p w14:paraId="4518C171" w14:textId="77777777" w:rsidR="00AA76AC" w:rsidRDefault="00AA76AC" w:rsidP="000412EB">
      <w:pPr>
        <w:pStyle w:val="KUJKnormal"/>
      </w:pPr>
    </w:p>
    <w:p w14:paraId="61C1DF25" w14:textId="77777777" w:rsidR="00AA76AC" w:rsidRDefault="00AA76AC" w:rsidP="000412EB">
      <w:pPr>
        <w:pStyle w:val="KUJKnormal"/>
      </w:pPr>
    </w:p>
    <w:p w14:paraId="659A7923" w14:textId="77777777" w:rsidR="00AA76AC" w:rsidRDefault="00AA76AC" w:rsidP="000412EB">
      <w:pPr>
        <w:pStyle w:val="KUJKmezeraDZ"/>
      </w:pPr>
      <w:bookmarkStart w:id="2" w:name="US_DuvodZprava"/>
      <w:bookmarkEnd w:id="2"/>
    </w:p>
    <w:p w14:paraId="722626BA" w14:textId="77777777" w:rsidR="00AA76AC" w:rsidRDefault="00AA76AC" w:rsidP="000412EB">
      <w:pPr>
        <w:pStyle w:val="KUJKnadpisDZ"/>
      </w:pPr>
      <w:r>
        <w:t>DŮVODOVÁ ZPRÁVA</w:t>
      </w:r>
    </w:p>
    <w:p w14:paraId="3CA8A6CE" w14:textId="77777777" w:rsidR="00AA76AC" w:rsidRPr="009B7B0B" w:rsidRDefault="00AA76AC" w:rsidP="000412EB">
      <w:pPr>
        <w:pStyle w:val="KUJKmezeraDZ"/>
      </w:pPr>
    </w:p>
    <w:p w14:paraId="2D1402C8" w14:textId="77777777" w:rsidR="00AA76AC" w:rsidRDefault="00AA76AC" w:rsidP="005F4640">
      <w:pPr>
        <w:pStyle w:val="KUJKnormal"/>
      </w:pPr>
      <w:r w:rsidRPr="00C25CAC">
        <w:t xml:space="preserve">Materiál je předkládán v souladu s § </w:t>
      </w:r>
      <w:r>
        <w:t>36</w:t>
      </w:r>
      <w:r w:rsidRPr="00C25CAC">
        <w:t xml:space="preserve"> zákona č. 129/2000 Sb., o krajích (krajské zřízení), ve znění pozdějších předpisů.</w:t>
      </w:r>
    </w:p>
    <w:p w14:paraId="73BB733E" w14:textId="77777777" w:rsidR="00AA76AC" w:rsidRDefault="00AA76AC" w:rsidP="005F4640">
      <w:pPr>
        <w:pStyle w:val="KUJKnormal"/>
      </w:pPr>
    </w:p>
    <w:p w14:paraId="79410163" w14:textId="77777777" w:rsidR="00AA76AC" w:rsidRDefault="00AA76AC" w:rsidP="005F4640">
      <w:pPr>
        <w:pStyle w:val="KUJKnormal"/>
      </w:pPr>
      <w:r>
        <w:t xml:space="preserve">Usnesením zastupitelstva kraje 240/2018/ZK-15 ze dne 06.09.2018 byla schválena Koncepce paliativní péče v Jihočeském kraji na období do roku 2023. Zde je krajem deklarována podpora mobilní specializované paliativní péče (dále jen MSPP). Každoročně je zastupitelstvem kraje schválen dotační program, který finančně napomáhá dotovat služby zajišťované mobilními paliativními týmy. Alokace pro rok 2021 činila </w:t>
      </w:r>
      <w:r>
        <w:br/>
        <w:t xml:space="preserve">3,6 mil. Kč. V rámci opatření č. 1, které se touto oblastí zabývá, bylo podpořeno 9 mobilních paliativních týmů na území Jihočeského kraje. V rámci dotačního programu není uznatelným nákladem financování zdravotní části mobilního paliativního týmu. Tato část služby by měla být plně hrazena zdravotními pojišťovnami. Skutečnost je však taková, že úhrady z veřejného zdravotního pojištění nekryjí náklady </w:t>
      </w:r>
      <w:r>
        <w:br/>
        <w:t xml:space="preserve">na zajištění této zdravotní péče.  </w:t>
      </w:r>
    </w:p>
    <w:p w14:paraId="4DDF3A82" w14:textId="77777777" w:rsidR="00AA76AC" w:rsidRDefault="00AA76AC" w:rsidP="005F4640">
      <w:pPr>
        <w:pStyle w:val="KUJKnormal"/>
      </w:pPr>
    </w:p>
    <w:p w14:paraId="07D47DB3" w14:textId="77777777" w:rsidR="00AA76AC" w:rsidRDefault="00AA76AC" w:rsidP="005F4640">
      <w:pPr>
        <w:pStyle w:val="KUJKnormal"/>
      </w:pPr>
      <w:r>
        <w:t xml:space="preserve">Navrhujeme vzhledem k současné situaci podpořit MSPP na území kraje poskytnutím daru poskytovatelům zdravotních služeb, který napomůže krýt náklady za zdravotní část spektra jejich služeb. Jedná se o podporu 6 poskytovatelů MSPP (9 mobilních týmů) poskytujících své služby na území kraje. S odkazem na výše uvedenou skutečnost hejtman Jihočeského kraje, jako předseda Asociace krajů České republiky, vyvolá jednání na úrovni Vlády ČR a Všeobecné zdravotní pojišťovny ČR za účelem narovnání výše úhrad </w:t>
      </w:r>
    </w:p>
    <w:p w14:paraId="7DE6E1CA" w14:textId="77777777" w:rsidR="00AA76AC" w:rsidRDefault="00AA76AC" w:rsidP="005F4640">
      <w:pPr>
        <w:pStyle w:val="KUJKnormal"/>
      </w:pPr>
      <w:r>
        <w:t>ze zdravotního pojištění.</w:t>
      </w:r>
    </w:p>
    <w:p w14:paraId="1D70F134" w14:textId="77777777" w:rsidR="00AA76AC" w:rsidRDefault="00AA76AC" w:rsidP="005F4640">
      <w:pPr>
        <w:pStyle w:val="KUJKnormal"/>
      </w:pPr>
    </w:p>
    <w:p w14:paraId="10E2243F" w14:textId="77777777" w:rsidR="00AA76AC" w:rsidRDefault="00AA76AC" w:rsidP="005F4640">
      <w:pPr>
        <w:pStyle w:val="KUJKnormal"/>
      </w:pPr>
    </w:p>
    <w:tbl>
      <w:tblPr>
        <w:tblW w:w="8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1713"/>
        <w:gridCol w:w="2126"/>
      </w:tblGrid>
      <w:tr w:rsidR="00AA76AC" w:rsidRPr="005F4640" w14:paraId="4E273361" w14:textId="77777777" w:rsidTr="005F4640">
        <w:trPr>
          <w:trHeight w:val="315"/>
        </w:trPr>
        <w:tc>
          <w:tcPr>
            <w:tcW w:w="8789" w:type="dxa"/>
            <w:gridSpan w:val="3"/>
            <w:tcBorders>
              <w:top w:val="nil"/>
              <w:left w:val="nil"/>
              <w:bottom w:val="single" w:sz="6" w:space="0" w:color="auto"/>
              <w:right w:val="nil"/>
            </w:tcBorders>
            <w:vAlign w:val="bottom"/>
            <w:hideMark/>
          </w:tcPr>
          <w:p w14:paraId="4E953BE2" w14:textId="77777777" w:rsidR="00AA76AC" w:rsidRPr="005F4640" w:rsidRDefault="00AA76AC" w:rsidP="005F4640">
            <w:pPr>
              <w:pStyle w:val="KUJKnormal"/>
              <w:rPr>
                <w:b/>
                <w:bCs/>
              </w:rPr>
            </w:pPr>
            <w:r w:rsidRPr="005F4640">
              <w:rPr>
                <w:b/>
                <w:bCs/>
              </w:rPr>
              <w:t>Návrh na poskytnutí finančního daru Jihočeského kraje</w:t>
            </w:r>
          </w:p>
        </w:tc>
      </w:tr>
      <w:tr w:rsidR="00AA76AC" w:rsidRPr="005F4640" w14:paraId="69E1B7B4" w14:textId="77777777" w:rsidTr="005F4640">
        <w:trPr>
          <w:trHeight w:val="300"/>
        </w:trPr>
        <w:tc>
          <w:tcPr>
            <w:tcW w:w="4950" w:type="dxa"/>
            <w:tcBorders>
              <w:top w:val="nil"/>
              <w:left w:val="single" w:sz="6" w:space="0" w:color="auto"/>
              <w:bottom w:val="single" w:sz="6" w:space="0" w:color="auto"/>
              <w:right w:val="single" w:sz="6" w:space="0" w:color="auto"/>
            </w:tcBorders>
            <w:vAlign w:val="bottom"/>
            <w:hideMark/>
          </w:tcPr>
          <w:p w14:paraId="50EAE7C1" w14:textId="77777777" w:rsidR="00AA76AC" w:rsidRPr="005F4640" w:rsidRDefault="00AA76AC" w:rsidP="009D1785">
            <w:pPr>
              <w:pStyle w:val="KUJKnormal"/>
              <w:jc w:val="center"/>
              <w:rPr>
                <w:bCs/>
              </w:rPr>
            </w:pPr>
            <w:r w:rsidRPr="005F4640">
              <w:rPr>
                <w:b/>
                <w:bCs/>
              </w:rPr>
              <w:t>Název poskytovatele MSPP</w:t>
            </w:r>
          </w:p>
        </w:tc>
        <w:tc>
          <w:tcPr>
            <w:tcW w:w="1713" w:type="dxa"/>
            <w:tcBorders>
              <w:top w:val="nil"/>
              <w:left w:val="nil"/>
              <w:bottom w:val="single" w:sz="6" w:space="0" w:color="auto"/>
              <w:right w:val="single" w:sz="6" w:space="0" w:color="auto"/>
            </w:tcBorders>
            <w:vAlign w:val="bottom"/>
            <w:hideMark/>
          </w:tcPr>
          <w:p w14:paraId="5EC9B6F2" w14:textId="77777777" w:rsidR="00AA76AC" w:rsidRPr="005F4640" w:rsidRDefault="00AA76AC" w:rsidP="009D1785">
            <w:pPr>
              <w:pStyle w:val="KUJKnormal"/>
              <w:jc w:val="center"/>
              <w:rPr>
                <w:bCs/>
              </w:rPr>
            </w:pPr>
            <w:r w:rsidRPr="005F4640">
              <w:rPr>
                <w:b/>
                <w:bCs/>
              </w:rPr>
              <w:t>Výše dotace v rámci DP 2021</w:t>
            </w:r>
          </w:p>
        </w:tc>
        <w:tc>
          <w:tcPr>
            <w:tcW w:w="2126" w:type="dxa"/>
            <w:tcBorders>
              <w:top w:val="nil"/>
              <w:left w:val="nil"/>
              <w:bottom w:val="single" w:sz="6" w:space="0" w:color="auto"/>
              <w:right w:val="single" w:sz="6" w:space="0" w:color="auto"/>
            </w:tcBorders>
            <w:shd w:val="clear" w:color="auto" w:fill="E7E6E6"/>
            <w:vAlign w:val="bottom"/>
            <w:hideMark/>
          </w:tcPr>
          <w:p w14:paraId="7B7C47F7" w14:textId="77777777" w:rsidR="00AA76AC" w:rsidRPr="005F4640" w:rsidRDefault="00AA76AC" w:rsidP="009D1785">
            <w:pPr>
              <w:pStyle w:val="KUJKnormal"/>
              <w:jc w:val="center"/>
              <w:rPr>
                <w:bCs/>
              </w:rPr>
            </w:pPr>
            <w:r w:rsidRPr="005F4640">
              <w:rPr>
                <w:b/>
                <w:bCs/>
              </w:rPr>
              <w:t>Navrhovaná výše daru</w:t>
            </w:r>
          </w:p>
        </w:tc>
      </w:tr>
      <w:tr w:rsidR="00AA76AC" w:rsidRPr="005F4640" w14:paraId="25D7ECA3" w14:textId="77777777" w:rsidTr="005F4640">
        <w:trPr>
          <w:trHeight w:val="300"/>
        </w:trPr>
        <w:tc>
          <w:tcPr>
            <w:tcW w:w="4950" w:type="dxa"/>
            <w:tcBorders>
              <w:top w:val="nil"/>
              <w:left w:val="single" w:sz="6" w:space="0" w:color="auto"/>
              <w:bottom w:val="single" w:sz="6" w:space="0" w:color="auto"/>
              <w:right w:val="single" w:sz="6" w:space="0" w:color="auto"/>
            </w:tcBorders>
            <w:vAlign w:val="bottom"/>
            <w:hideMark/>
          </w:tcPr>
          <w:p w14:paraId="135160AA" w14:textId="77777777" w:rsidR="00AA76AC" w:rsidRPr="005F4640" w:rsidRDefault="00AA76AC" w:rsidP="005F4640">
            <w:pPr>
              <w:pStyle w:val="KUJKnormal"/>
              <w:rPr>
                <w:bCs/>
              </w:rPr>
            </w:pPr>
            <w:r w:rsidRPr="005F4640">
              <w:rPr>
                <w:bCs/>
              </w:rPr>
              <w:t> Domácí Hospic Jordán, o.p.s. </w:t>
            </w:r>
          </w:p>
        </w:tc>
        <w:tc>
          <w:tcPr>
            <w:tcW w:w="1713" w:type="dxa"/>
            <w:tcBorders>
              <w:top w:val="nil"/>
              <w:left w:val="nil"/>
              <w:bottom w:val="single" w:sz="6" w:space="0" w:color="auto"/>
              <w:right w:val="single" w:sz="6" w:space="0" w:color="auto"/>
            </w:tcBorders>
            <w:vAlign w:val="bottom"/>
            <w:hideMark/>
          </w:tcPr>
          <w:p w14:paraId="33F61F4B" w14:textId="77777777" w:rsidR="00AA76AC" w:rsidRPr="005F4640" w:rsidRDefault="00AA76AC" w:rsidP="009D1785">
            <w:pPr>
              <w:pStyle w:val="KUJKnormal"/>
              <w:jc w:val="right"/>
              <w:rPr>
                <w:bCs/>
              </w:rPr>
            </w:pPr>
            <w:r w:rsidRPr="005F4640">
              <w:rPr>
                <w:bCs/>
              </w:rPr>
              <w:t> 398 794,- Kč </w:t>
            </w:r>
          </w:p>
        </w:tc>
        <w:tc>
          <w:tcPr>
            <w:tcW w:w="2126" w:type="dxa"/>
            <w:tcBorders>
              <w:top w:val="nil"/>
              <w:left w:val="nil"/>
              <w:bottom w:val="single" w:sz="6" w:space="0" w:color="auto"/>
              <w:right w:val="single" w:sz="6" w:space="0" w:color="auto"/>
            </w:tcBorders>
            <w:shd w:val="clear" w:color="auto" w:fill="E7E6E6"/>
            <w:vAlign w:val="bottom"/>
            <w:hideMark/>
          </w:tcPr>
          <w:p w14:paraId="041B494E" w14:textId="77777777" w:rsidR="00AA76AC" w:rsidRPr="005F4640" w:rsidRDefault="00AA76AC" w:rsidP="009D1785">
            <w:pPr>
              <w:pStyle w:val="KUJKnormal"/>
              <w:jc w:val="right"/>
              <w:rPr>
                <w:bCs/>
              </w:rPr>
            </w:pPr>
            <w:r w:rsidRPr="005F4640">
              <w:rPr>
                <w:bCs/>
              </w:rPr>
              <w:t> 500 000,- Kč </w:t>
            </w:r>
          </w:p>
        </w:tc>
      </w:tr>
      <w:tr w:rsidR="00AA76AC" w:rsidRPr="005F4640" w14:paraId="384FF854" w14:textId="77777777" w:rsidTr="005F4640">
        <w:trPr>
          <w:trHeight w:val="300"/>
        </w:trPr>
        <w:tc>
          <w:tcPr>
            <w:tcW w:w="4950" w:type="dxa"/>
            <w:tcBorders>
              <w:top w:val="nil"/>
              <w:left w:val="single" w:sz="6" w:space="0" w:color="auto"/>
              <w:bottom w:val="single" w:sz="6" w:space="0" w:color="auto"/>
              <w:right w:val="single" w:sz="6" w:space="0" w:color="auto"/>
            </w:tcBorders>
            <w:vAlign w:val="bottom"/>
            <w:hideMark/>
          </w:tcPr>
          <w:p w14:paraId="679DDEA3" w14:textId="77777777" w:rsidR="00AA76AC" w:rsidRPr="005F4640" w:rsidRDefault="00AA76AC" w:rsidP="005F4640">
            <w:pPr>
              <w:pStyle w:val="KUJKnormal"/>
              <w:rPr>
                <w:bCs/>
              </w:rPr>
            </w:pPr>
            <w:r w:rsidRPr="005F4640">
              <w:rPr>
                <w:bCs/>
              </w:rPr>
              <w:t> Hospicová péče sv. Kleofáše, o.p.s. </w:t>
            </w:r>
          </w:p>
        </w:tc>
        <w:tc>
          <w:tcPr>
            <w:tcW w:w="1713" w:type="dxa"/>
            <w:tcBorders>
              <w:top w:val="nil"/>
              <w:left w:val="nil"/>
              <w:bottom w:val="single" w:sz="6" w:space="0" w:color="auto"/>
              <w:right w:val="single" w:sz="6" w:space="0" w:color="auto"/>
            </w:tcBorders>
            <w:vAlign w:val="bottom"/>
            <w:hideMark/>
          </w:tcPr>
          <w:p w14:paraId="2E73009D" w14:textId="77777777" w:rsidR="00AA76AC" w:rsidRPr="005F4640" w:rsidRDefault="00AA76AC" w:rsidP="009D1785">
            <w:pPr>
              <w:pStyle w:val="KUJKnormal"/>
              <w:jc w:val="right"/>
              <w:rPr>
                <w:bCs/>
              </w:rPr>
            </w:pPr>
            <w:r w:rsidRPr="005F4640">
              <w:rPr>
                <w:bCs/>
              </w:rPr>
              <w:t> 409 554,- Kč </w:t>
            </w:r>
          </w:p>
        </w:tc>
        <w:tc>
          <w:tcPr>
            <w:tcW w:w="2126" w:type="dxa"/>
            <w:tcBorders>
              <w:top w:val="nil"/>
              <w:left w:val="nil"/>
              <w:bottom w:val="single" w:sz="6" w:space="0" w:color="auto"/>
              <w:right w:val="single" w:sz="6" w:space="0" w:color="auto"/>
            </w:tcBorders>
            <w:shd w:val="clear" w:color="auto" w:fill="E7E6E6"/>
            <w:vAlign w:val="bottom"/>
            <w:hideMark/>
          </w:tcPr>
          <w:p w14:paraId="0CEB4202" w14:textId="77777777" w:rsidR="00AA76AC" w:rsidRPr="005F4640" w:rsidRDefault="00AA76AC" w:rsidP="009D1785">
            <w:pPr>
              <w:pStyle w:val="KUJKnormal"/>
              <w:jc w:val="right"/>
              <w:rPr>
                <w:bCs/>
              </w:rPr>
            </w:pPr>
            <w:r w:rsidRPr="005F4640">
              <w:rPr>
                <w:bCs/>
              </w:rPr>
              <w:t> 500 000,- Kč </w:t>
            </w:r>
          </w:p>
        </w:tc>
      </w:tr>
      <w:tr w:rsidR="00AA76AC" w:rsidRPr="005F4640" w14:paraId="621576ED" w14:textId="77777777" w:rsidTr="005F4640">
        <w:trPr>
          <w:trHeight w:val="300"/>
        </w:trPr>
        <w:tc>
          <w:tcPr>
            <w:tcW w:w="4950" w:type="dxa"/>
            <w:tcBorders>
              <w:top w:val="nil"/>
              <w:left w:val="single" w:sz="6" w:space="0" w:color="auto"/>
              <w:bottom w:val="single" w:sz="6" w:space="0" w:color="auto"/>
              <w:right w:val="single" w:sz="6" w:space="0" w:color="auto"/>
            </w:tcBorders>
            <w:vAlign w:val="bottom"/>
            <w:hideMark/>
          </w:tcPr>
          <w:p w14:paraId="6EF691CB" w14:textId="77777777" w:rsidR="00AA76AC" w:rsidRPr="005F4640" w:rsidRDefault="00AA76AC" w:rsidP="005F4640">
            <w:pPr>
              <w:pStyle w:val="KUJKnormal"/>
              <w:rPr>
                <w:bCs/>
              </w:rPr>
            </w:pPr>
            <w:r w:rsidRPr="005F4640">
              <w:rPr>
                <w:bCs/>
              </w:rPr>
              <w:t> Ledax o.p.s. </w:t>
            </w:r>
          </w:p>
        </w:tc>
        <w:tc>
          <w:tcPr>
            <w:tcW w:w="1713" w:type="dxa"/>
            <w:tcBorders>
              <w:top w:val="nil"/>
              <w:left w:val="nil"/>
              <w:bottom w:val="single" w:sz="6" w:space="0" w:color="auto"/>
              <w:right w:val="single" w:sz="6" w:space="0" w:color="auto"/>
            </w:tcBorders>
            <w:vAlign w:val="bottom"/>
            <w:hideMark/>
          </w:tcPr>
          <w:p w14:paraId="04440C70" w14:textId="77777777" w:rsidR="00AA76AC" w:rsidRPr="005F4640" w:rsidRDefault="00AA76AC" w:rsidP="009D1785">
            <w:pPr>
              <w:pStyle w:val="KUJKnormal"/>
              <w:jc w:val="right"/>
              <w:rPr>
                <w:bCs/>
              </w:rPr>
            </w:pPr>
            <w:r w:rsidRPr="005F4640">
              <w:rPr>
                <w:bCs/>
              </w:rPr>
              <w:t> 385 348,- Kč </w:t>
            </w:r>
          </w:p>
        </w:tc>
        <w:tc>
          <w:tcPr>
            <w:tcW w:w="2126" w:type="dxa"/>
            <w:tcBorders>
              <w:top w:val="nil"/>
              <w:left w:val="nil"/>
              <w:bottom w:val="single" w:sz="6" w:space="0" w:color="auto"/>
              <w:right w:val="single" w:sz="6" w:space="0" w:color="auto"/>
            </w:tcBorders>
            <w:shd w:val="clear" w:color="auto" w:fill="E7E6E6"/>
            <w:vAlign w:val="bottom"/>
            <w:hideMark/>
          </w:tcPr>
          <w:p w14:paraId="419DE98C" w14:textId="77777777" w:rsidR="00AA76AC" w:rsidRPr="005F4640" w:rsidRDefault="00AA76AC" w:rsidP="009D1785">
            <w:pPr>
              <w:pStyle w:val="KUJKnormal"/>
              <w:jc w:val="right"/>
              <w:rPr>
                <w:bCs/>
              </w:rPr>
            </w:pPr>
            <w:r w:rsidRPr="005F4640">
              <w:rPr>
                <w:bCs/>
              </w:rPr>
              <w:t> 500 000,- Kč </w:t>
            </w:r>
          </w:p>
        </w:tc>
      </w:tr>
      <w:tr w:rsidR="00AA76AC" w:rsidRPr="005F4640" w14:paraId="3A748E2F" w14:textId="77777777" w:rsidTr="005F4640">
        <w:trPr>
          <w:trHeight w:val="300"/>
        </w:trPr>
        <w:tc>
          <w:tcPr>
            <w:tcW w:w="4950" w:type="dxa"/>
            <w:tcBorders>
              <w:top w:val="nil"/>
              <w:left w:val="single" w:sz="6" w:space="0" w:color="auto"/>
              <w:bottom w:val="single" w:sz="6" w:space="0" w:color="auto"/>
              <w:right w:val="single" w:sz="6" w:space="0" w:color="auto"/>
            </w:tcBorders>
            <w:vAlign w:val="bottom"/>
            <w:hideMark/>
          </w:tcPr>
          <w:p w14:paraId="6C803E7B" w14:textId="77777777" w:rsidR="00AA76AC" w:rsidRPr="005F4640" w:rsidRDefault="00AA76AC" w:rsidP="005F4640">
            <w:pPr>
              <w:pStyle w:val="KUJKnormal"/>
              <w:rPr>
                <w:bCs/>
              </w:rPr>
            </w:pPr>
            <w:r w:rsidRPr="005F4640">
              <w:rPr>
                <w:bCs/>
              </w:rPr>
              <w:t> Domácí hospic Athelas – středisko Husitské diakonie </w:t>
            </w:r>
          </w:p>
        </w:tc>
        <w:tc>
          <w:tcPr>
            <w:tcW w:w="1713" w:type="dxa"/>
            <w:tcBorders>
              <w:top w:val="nil"/>
              <w:left w:val="nil"/>
              <w:bottom w:val="single" w:sz="6" w:space="0" w:color="auto"/>
              <w:right w:val="single" w:sz="6" w:space="0" w:color="auto"/>
            </w:tcBorders>
            <w:vAlign w:val="bottom"/>
            <w:hideMark/>
          </w:tcPr>
          <w:p w14:paraId="0EE9F377" w14:textId="77777777" w:rsidR="00AA76AC" w:rsidRPr="005F4640" w:rsidRDefault="00AA76AC" w:rsidP="009D1785">
            <w:pPr>
              <w:pStyle w:val="KUJKnormal"/>
              <w:jc w:val="right"/>
              <w:rPr>
                <w:bCs/>
              </w:rPr>
            </w:pPr>
            <w:r w:rsidRPr="005F4640">
              <w:rPr>
                <w:bCs/>
              </w:rPr>
              <w:t> 420 000,- Kč </w:t>
            </w:r>
          </w:p>
        </w:tc>
        <w:tc>
          <w:tcPr>
            <w:tcW w:w="2126" w:type="dxa"/>
            <w:tcBorders>
              <w:top w:val="nil"/>
              <w:left w:val="nil"/>
              <w:bottom w:val="single" w:sz="6" w:space="0" w:color="auto"/>
              <w:right w:val="single" w:sz="6" w:space="0" w:color="auto"/>
            </w:tcBorders>
            <w:shd w:val="clear" w:color="auto" w:fill="E7E6E6"/>
            <w:vAlign w:val="bottom"/>
            <w:hideMark/>
          </w:tcPr>
          <w:p w14:paraId="402DDC98" w14:textId="77777777" w:rsidR="00AA76AC" w:rsidRPr="005F4640" w:rsidRDefault="00AA76AC" w:rsidP="009D1785">
            <w:pPr>
              <w:pStyle w:val="KUJKnormal"/>
              <w:jc w:val="right"/>
              <w:rPr>
                <w:bCs/>
              </w:rPr>
            </w:pPr>
            <w:r w:rsidRPr="005F4640">
              <w:rPr>
                <w:bCs/>
              </w:rPr>
              <w:t> 500 000,- Kč </w:t>
            </w:r>
          </w:p>
        </w:tc>
      </w:tr>
      <w:tr w:rsidR="00AA76AC" w:rsidRPr="005F4640" w14:paraId="33091F7B" w14:textId="77777777" w:rsidTr="005F4640">
        <w:trPr>
          <w:trHeight w:val="300"/>
        </w:trPr>
        <w:tc>
          <w:tcPr>
            <w:tcW w:w="4950" w:type="dxa"/>
            <w:tcBorders>
              <w:top w:val="nil"/>
              <w:left w:val="single" w:sz="6" w:space="0" w:color="auto"/>
              <w:bottom w:val="single" w:sz="6" w:space="0" w:color="auto"/>
              <w:right w:val="single" w:sz="6" w:space="0" w:color="auto"/>
            </w:tcBorders>
            <w:vAlign w:val="bottom"/>
            <w:hideMark/>
          </w:tcPr>
          <w:p w14:paraId="247F682F" w14:textId="77777777" w:rsidR="00AA76AC" w:rsidRPr="005F4640" w:rsidRDefault="00AA76AC" w:rsidP="005F4640">
            <w:pPr>
              <w:pStyle w:val="KUJKnormal"/>
              <w:rPr>
                <w:bCs/>
              </w:rPr>
            </w:pPr>
            <w:r w:rsidRPr="005F4640">
              <w:rPr>
                <w:bCs/>
              </w:rPr>
              <w:t> Hospic sv. Jana N. Neumanna, o.p.s.* </w:t>
            </w:r>
          </w:p>
        </w:tc>
        <w:tc>
          <w:tcPr>
            <w:tcW w:w="1713" w:type="dxa"/>
            <w:tcBorders>
              <w:top w:val="nil"/>
              <w:left w:val="nil"/>
              <w:bottom w:val="single" w:sz="6" w:space="0" w:color="auto"/>
              <w:right w:val="single" w:sz="6" w:space="0" w:color="auto"/>
            </w:tcBorders>
            <w:vAlign w:val="bottom"/>
            <w:hideMark/>
          </w:tcPr>
          <w:p w14:paraId="46CC9503" w14:textId="77777777" w:rsidR="00AA76AC" w:rsidRPr="005F4640" w:rsidRDefault="00AA76AC" w:rsidP="009D1785">
            <w:pPr>
              <w:pStyle w:val="KUJKnormal"/>
              <w:jc w:val="right"/>
              <w:rPr>
                <w:bCs/>
              </w:rPr>
            </w:pPr>
            <w:r w:rsidRPr="005F4640">
              <w:rPr>
                <w:bCs/>
              </w:rPr>
              <w:t> 1 384 484,- Kč </w:t>
            </w:r>
          </w:p>
        </w:tc>
        <w:tc>
          <w:tcPr>
            <w:tcW w:w="2126" w:type="dxa"/>
            <w:tcBorders>
              <w:top w:val="nil"/>
              <w:left w:val="nil"/>
              <w:bottom w:val="single" w:sz="6" w:space="0" w:color="auto"/>
              <w:right w:val="single" w:sz="6" w:space="0" w:color="auto"/>
            </w:tcBorders>
            <w:shd w:val="clear" w:color="auto" w:fill="E7E6E6"/>
            <w:vAlign w:val="bottom"/>
            <w:hideMark/>
          </w:tcPr>
          <w:p w14:paraId="317D67F0" w14:textId="77777777" w:rsidR="00AA76AC" w:rsidRPr="005F4640" w:rsidRDefault="00AA76AC" w:rsidP="009D1785">
            <w:pPr>
              <w:pStyle w:val="KUJKnormal"/>
              <w:jc w:val="right"/>
              <w:rPr>
                <w:bCs/>
              </w:rPr>
            </w:pPr>
            <w:r w:rsidRPr="005F4640">
              <w:rPr>
                <w:bCs/>
              </w:rPr>
              <w:t> 2 000 000,- Kč </w:t>
            </w:r>
          </w:p>
        </w:tc>
      </w:tr>
      <w:tr w:rsidR="00AA76AC" w:rsidRPr="005F4640" w14:paraId="5104A77B" w14:textId="77777777" w:rsidTr="005F4640">
        <w:trPr>
          <w:trHeight w:val="315"/>
        </w:trPr>
        <w:tc>
          <w:tcPr>
            <w:tcW w:w="4950" w:type="dxa"/>
            <w:tcBorders>
              <w:top w:val="nil"/>
              <w:left w:val="single" w:sz="6" w:space="0" w:color="auto"/>
              <w:bottom w:val="single" w:sz="6" w:space="0" w:color="auto"/>
              <w:right w:val="single" w:sz="6" w:space="0" w:color="auto"/>
            </w:tcBorders>
            <w:vAlign w:val="bottom"/>
            <w:hideMark/>
          </w:tcPr>
          <w:p w14:paraId="00097B7E" w14:textId="77777777" w:rsidR="00AA76AC" w:rsidRPr="005F4640" w:rsidRDefault="00AA76AC" w:rsidP="005F4640">
            <w:pPr>
              <w:pStyle w:val="KUJKnormal"/>
              <w:rPr>
                <w:bCs/>
              </w:rPr>
            </w:pPr>
            <w:r w:rsidRPr="005F4640">
              <w:rPr>
                <w:bCs/>
              </w:rPr>
              <w:t> Sdílení, o.p.s.** </w:t>
            </w:r>
          </w:p>
        </w:tc>
        <w:tc>
          <w:tcPr>
            <w:tcW w:w="1713" w:type="dxa"/>
            <w:tcBorders>
              <w:top w:val="nil"/>
              <w:left w:val="nil"/>
              <w:bottom w:val="single" w:sz="6" w:space="0" w:color="auto"/>
              <w:right w:val="single" w:sz="6" w:space="0" w:color="auto"/>
            </w:tcBorders>
            <w:vAlign w:val="bottom"/>
            <w:hideMark/>
          </w:tcPr>
          <w:p w14:paraId="06D34108" w14:textId="77777777" w:rsidR="00AA76AC" w:rsidRPr="005F4640" w:rsidRDefault="00AA76AC" w:rsidP="009D1785">
            <w:pPr>
              <w:pStyle w:val="KUJKnormal"/>
              <w:jc w:val="right"/>
              <w:rPr>
                <w:bCs/>
              </w:rPr>
            </w:pPr>
            <w:r w:rsidRPr="005F4640">
              <w:rPr>
                <w:bCs/>
              </w:rPr>
              <w:t> 367 147,- Kč </w:t>
            </w:r>
          </w:p>
        </w:tc>
        <w:tc>
          <w:tcPr>
            <w:tcW w:w="2126" w:type="dxa"/>
            <w:tcBorders>
              <w:top w:val="nil"/>
              <w:left w:val="nil"/>
              <w:bottom w:val="single" w:sz="6" w:space="0" w:color="auto"/>
              <w:right w:val="single" w:sz="6" w:space="0" w:color="auto"/>
            </w:tcBorders>
            <w:shd w:val="clear" w:color="auto" w:fill="E7E6E6"/>
            <w:vAlign w:val="bottom"/>
            <w:hideMark/>
          </w:tcPr>
          <w:p w14:paraId="7172827B" w14:textId="77777777" w:rsidR="00AA76AC" w:rsidRPr="005F4640" w:rsidRDefault="00AA76AC" w:rsidP="009D1785">
            <w:pPr>
              <w:pStyle w:val="KUJKnormal"/>
              <w:jc w:val="right"/>
              <w:rPr>
                <w:bCs/>
              </w:rPr>
            </w:pPr>
            <w:r w:rsidRPr="005F4640">
              <w:rPr>
                <w:bCs/>
              </w:rPr>
              <w:t> 150 000,- Kč </w:t>
            </w:r>
          </w:p>
        </w:tc>
      </w:tr>
      <w:tr w:rsidR="00AA76AC" w:rsidRPr="005F4640" w14:paraId="2126FB02" w14:textId="77777777" w:rsidTr="005F4640">
        <w:trPr>
          <w:trHeight w:val="315"/>
        </w:trPr>
        <w:tc>
          <w:tcPr>
            <w:tcW w:w="4950" w:type="dxa"/>
            <w:tcBorders>
              <w:top w:val="single" w:sz="6" w:space="0" w:color="auto"/>
              <w:left w:val="single" w:sz="6" w:space="0" w:color="auto"/>
              <w:bottom w:val="single" w:sz="6" w:space="0" w:color="auto"/>
              <w:right w:val="single" w:sz="6" w:space="0" w:color="auto"/>
            </w:tcBorders>
            <w:vAlign w:val="bottom"/>
            <w:hideMark/>
          </w:tcPr>
          <w:p w14:paraId="3A99F89E" w14:textId="77777777" w:rsidR="00AA76AC" w:rsidRPr="005F4640" w:rsidRDefault="00AA76AC" w:rsidP="005F4640">
            <w:pPr>
              <w:pStyle w:val="KUJKnormal"/>
              <w:rPr>
                <w:bCs/>
              </w:rPr>
            </w:pPr>
            <w:r w:rsidRPr="005F4640">
              <w:rPr>
                <w:b/>
                <w:bCs/>
              </w:rPr>
              <w:t>Celkem 6 poskytovatelů MSPP (9 mobilních týmů)</w:t>
            </w:r>
            <w:r w:rsidRPr="005F4640">
              <w:rPr>
                <w:bCs/>
              </w:rPr>
              <w:t> </w:t>
            </w:r>
          </w:p>
        </w:tc>
        <w:tc>
          <w:tcPr>
            <w:tcW w:w="1713" w:type="dxa"/>
            <w:tcBorders>
              <w:top w:val="single" w:sz="6" w:space="0" w:color="auto"/>
              <w:left w:val="nil"/>
              <w:bottom w:val="single" w:sz="6" w:space="0" w:color="auto"/>
              <w:right w:val="single" w:sz="6" w:space="0" w:color="auto"/>
            </w:tcBorders>
            <w:vAlign w:val="bottom"/>
            <w:hideMark/>
          </w:tcPr>
          <w:p w14:paraId="3FE3A48F" w14:textId="77777777" w:rsidR="00AA76AC" w:rsidRPr="005F4640" w:rsidRDefault="00AA76AC" w:rsidP="009D1785">
            <w:pPr>
              <w:pStyle w:val="KUJKnormal"/>
              <w:jc w:val="right"/>
              <w:rPr>
                <w:bCs/>
              </w:rPr>
            </w:pPr>
            <w:r w:rsidRPr="005F4640">
              <w:rPr>
                <w:b/>
                <w:bCs/>
              </w:rPr>
              <w:t>3 365 327,- Kč</w:t>
            </w:r>
            <w:r w:rsidRPr="005F4640">
              <w:rPr>
                <w:bCs/>
              </w:rPr>
              <w:t> </w:t>
            </w:r>
          </w:p>
        </w:tc>
        <w:tc>
          <w:tcPr>
            <w:tcW w:w="2126" w:type="dxa"/>
            <w:tcBorders>
              <w:top w:val="single" w:sz="6" w:space="0" w:color="auto"/>
              <w:left w:val="nil"/>
              <w:bottom w:val="single" w:sz="6" w:space="0" w:color="auto"/>
              <w:right w:val="single" w:sz="6" w:space="0" w:color="auto"/>
            </w:tcBorders>
            <w:shd w:val="clear" w:color="auto" w:fill="E7E6E6"/>
            <w:vAlign w:val="bottom"/>
            <w:hideMark/>
          </w:tcPr>
          <w:p w14:paraId="1B2CCFA7" w14:textId="77777777" w:rsidR="00AA76AC" w:rsidRPr="005F4640" w:rsidRDefault="00AA76AC" w:rsidP="009D1785">
            <w:pPr>
              <w:pStyle w:val="KUJKnormal"/>
              <w:jc w:val="right"/>
              <w:rPr>
                <w:bCs/>
              </w:rPr>
            </w:pPr>
            <w:r w:rsidRPr="005F4640">
              <w:rPr>
                <w:b/>
                <w:bCs/>
              </w:rPr>
              <w:t>4 150 000,- Kč</w:t>
            </w:r>
            <w:r w:rsidRPr="005F4640">
              <w:rPr>
                <w:bCs/>
              </w:rPr>
              <w:t> </w:t>
            </w:r>
          </w:p>
        </w:tc>
      </w:tr>
    </w:tbl>
    <w:p w14:paraId="6F783E2F" w14:textId="77777777" w:rsidR="00AA76AC" w:rsidRPr="005F4640" w:rsidRDefault="00AA76AC" w:rsidP="005F4640">
      <w:pPr>
        <w:pStyle w:val="KUJKnormal"/>
        <w:rPr>
          <w:bCs/>
        </w:rPr>
      </w:pPr>
      <w:r w:rsidRPr="005F4640">
        <w:rPr>
          <w:bCs/>
        </w:rPr>
        <w:t>*Hospic sv. Jana N. Neumanna provozuje 4 mobilní týmy na území kraje (CB, CK, ST a PT) </w:t>
      </w:r>
    </w:p>
    <w:p w14:paraId="72F695B2" w14:textId="77777777" w:rsidR="00AA76AC" w:rsidRPr="005F4640" w:rsidRDefault="00AA76AC" w:rsidP="005F4640">
      <w:pPr>
        <w:pStyle w:val="KUJKnormal"/>
        <w:rPr>
          <w:bCs/>
        </w:rPr>
      </w:pPr>
      <w:r w:rsidRPr="005F4640">
        <w:rPr>
          <w:bCs/>
        </w:rPr>
        <w:t>**zajišťuje oblast Dačicka (proto pouze poměrná část výše daru) </w:t>
      </w:r>
    </w:p>
    <w:p w14:paraId="78D9BAFB" w14:textId="77777777" w:rsidR="00AA76AC" w:rsidRDefault="00AA76AC" w:rsidP="005F4640">
      <w:pPr>
        <w:pStyle w:val="KUJKnormal"/>
      </w:pPr>
    </w:p>
    <w:p w14:paraId="53E72FFC" w14:textId="77777777" w:rsidR="00AA76AC" w:rsidRDefault="00AA76AC" w:rsidP="005F4640">
      <w:pPr>
        <w:pStyle w:val="KUJKnormal"/>
      </w:pPr>
    </w:p>
    <w:p w14:paraId="6728B9AD" w14:textId="77777777" w:rsidR="00AA76AC" w:rsidRDefault="00AA76AC" w:rsidP="005F4640">
      <w:pPr>
        <w:pStyle w:val="KUJKnormal"/>
      </w:pPr>
      <w:r>
        <w:t>Uvedený návrh je v souladu se Zásadami Jihočeského kraje pro poskytování veřejné finanční podpory číslo SM/107/ZK, kdy Jihočeský kraj poskytuje z rozhodnutí samosprávných orgánů kraje dar jako finanční ocenění příjemce za jeho dlouhodobou činnost a přínos v oblasti poskytování mobilní specializované paliativní péče.</w:t>
      </w:r>
    </w:p>
    <w:p w14:paraId="2068079A" w14:textId="77777777" w:rsidR="00AA76AC" w:rsidRDefault="00AA76AC" w:rsidP="005F4640">
      <w:pPr>
        <w:pStyle w:val="KUJKnormal"/>
      </w:pPr>
    </w:p>
    <w:p w14:paraId="51F86C0C" w14:textId="77777777" w:rsidR="00AA76AC" w:rsidRDefault="00AA76AC" w:rsidP="005F4640">
      <w:pPr>
        <w:pStyle w:val="KUJKnormal"/>
      </w:pPr>
      <w:r>
        <w:t xml:space="preserve">Výbor pro zdravotnictví Zastupitelstva Jihočeského kraje projednal návrh na poskytnutí daru na svém jednání dne 11.10.2021. Návrh na poskytnutí daru byl projednán rovněž Finančním výborem Zastupitelstva Jihočeského kraje dne 11.10.2021. </w:t>
      </w:r>
    </w:p>
    <w:p w14:paraId="4255DEAD" w14:textId="77777777" w:rsidR="00AA76AC" w:rsidRDefault="00AA76AC" w:rsidP="005F4640">
      <w:pPr>
        <w:pStyle w:val="KUJKnormal"/>
      </w:pPr>
    </w:p>
    <w:p w14:paraId="734C7646" w14:textId="77777777" w:rsidR="00AA76AC" w:rsidRDefault="00AA76AC" w:rsidP="005F4640">
      <w:pPr>
        <w:pStyle w:val="KUJKnormal"/>
      </w:pPr>
      <w:r>
        <w:t xml:space="preserve">Rada kraje projednala návrh dotačního programu na svém jednání dne 07.10.2021 usnesením </w:t>
      </w:r>
      <w:r>
        <w:br/>
        <w:t>č. 1111/2021/RK-26.</w:t>
      </w:r>
    </w:p>
    <w:p w14:paraId="57625D0E" w14:textId="77777777" w:rsidR="00AA76AC" w:rsidRDefault="00AA76AC" w:rsidP="005F4640">
      <w:pPr>
        <w:pStyle w:val="KUJKnormal"/>
      </w:pPr>
    </w:p>
    <w:p w14:paraId="7398C537" w14:textId="77777777" w:rsidR="00AA76AC" w:rsidRDefault="00AA76AC" w:rsidP="005F4640">
      <w:pPr>
        <w:pStyle w:val="KUJKnormal"/>
      </w:pPr>
      <w:r>
        <w:t>Finanční nároky a krytí:</w:t>
      </w:r>
    </w:p>
    <w:p w14:paraId="46D2B4BC" w14:textId="77777777" w:rsidR="00AA76AC" w:rsidRDefault="00AA76AC" w:rsidP="005F4640">
      <w:pPr>
        <w:pStyle w:val="KUJKnormal"/>
      </w:pPr>
      <w:r>
        <w:t xml:space="preserve">Finanční prostředky v objemu 4 150 000,00 Kč budou převedeny do rozpočtu ORJ 09-OZDR (§ 3545, pol. 5221 a 5223) na základě rozpočtového opatření č. 305/Z z nespecifikovaných rezerv. </w:t>
      </w:r>
    </w:p>
    <w:p w14:paraId="1C6C5D8D" w14:textId="77777777" w:rsidR="00AA76AC" w:rsidRDefault="00AA76AC" w:rsidP="000412EB">
      <w:pPr>
        <w:pStyle w:val="KUJKnormal"/>
      </w:pPr>
    </w:p>
    <w:p w14:paraId="044DA81E" w14:textId="77777777" w:rsidR="00AA76AC" w:rsidRDefault="00AA76AC" w:rsidP="003E1417">
      <w:pPr>
        <w:pStyle w:val="KUJKnormal"/>
      </w:pPr>
    </w:p>
    <w:p w14:paraId="32373BB9" w14:textId="77777777" w:rsidR="00AA76AC" w:rsidRDefault="00AA76AC" w:rsidP="00F663BC">
      <w:pPr>
        <w:pStyle w:val="KUJKnormal"/>
      </w:pPr>
      <w:r>
        <w:t>Vyjádření správce rozpočtu: Bc. Monika Wolfová</w:t>
      </w:r>
      <w:r w:rsidRPr="007666AA">
        <w:t xml:space="preserve"> - </w:t>
      </w:r>
      <w:r>
        <w:t>Ekonomický odbor (OEKO):</w:t>
      </w:r>
      <w:r w:rsidRPr="007666AA">
        <w:t xml:space="preserve"> </w:t>
      </w:r>
      <w:r>
        <w:t>Souhlasím</w:t>
      </w:r>
      <w:r w:rsidRPr="007666AA">
        <w:t xml:space="preserve"> - </w:t>
      </w:r>
      <w:r>
        <w:t>Rozpočtové krytí uvolněním prostředků z rozpočtové rezervy je připraveno předáním návrhu rozpočtového opatření  č. 305/Z ke schválení v ZK 20.10.2021.</w:t>
      </w:r>
    </w:p>
    <w:p w14:paraId="0BFB0439" w14:textId="77777777" w:rsidR="00AA76AC" w:rsidRDefault="00AA76AC" w:rsidP="003E1417">
      <w:pPr>
        <w:pStyle w:val="KUJKnormal"/>
      </w:pPr>
    </w:p>
    <w:p w14:paraId="37DDB448" w14:textId="77777777" w:rsidR="00AA76AC" w:rsidRDefault="00AA76AC" w:rsidP="003E1417">
      <w:pPr>
        <w:pStyle w:val="KUJKnormal"/>
      </w:pPr>
    </w:p>
    <w:p w14:paraId="4F5A0320" w14:textId="77777777" w:rsidR="00AA76AC" w:rsidRPr="00A521E1" w:rsidRDefault="00AA76AC" w:rsidP="00585B64">
      <w:pPr>
        <w:pStyle w:val="KUJKnormal"/>
      </w:pPr>
      <w:r>
        <w:t>Návrh projednán (stanoviska): Mgr. Markéta Procházková</w:t>
      </w:r>
      <w:r w:rsidRPr="00A521E1">
        <w:t xml:space="preserve"> – Odbor</w:t>
      </w:r>
      <w:r>
        <w:t xml:space="preserve"> legislativy a vnitřních věcí (OLVV):</w:t>
      </w:r>
      <w:r w:rsidRPr="00A521E1">
        <w:t xml:space="preserve"> </w:t>
      </w:r>
      <w:r>
        <w:t>Souhlasím.</w:t>
      </w:r>
    </w:p>
    <w:p w14:paraId="4B36BBB7" w14:textId="77777777" w:rsidR="00AA76AC" w:rsidRDefault="00AA76AC" w:rsidP="003E1417">
      <w:pPr>
        <w:pStyle w:val="KUJKnormal"/>
      </w:pPr>
    </w:p>
    <w:p w14:paraId="0DCC3433" w14:textId="77777777" w:rsidR="00AA76AC" w:rsidRDefault="00AA76AC" w:rsidP="003E1417">
      <w:pPr>
        <w:pStyle w:val="KUJKnormal"/>
      </w:pPr>
    </w:p>
    <w:p w14:paraId="6DFB3E66" w14:textId="77777777" w:rsidR="00AA76AC" w:rsidRDefault="00AA76AC" w:rsidP="003E1417">
      <w:pPr>
        <w:pStyle w:val="KUJKtucny"/>
      </w:pPr>
      <w:r w:rsidRPr="007939A8">
        <w:t>PŘÍLOHY:</w:t>
      </w:r>
    </w:p>
    <w:p w14:paraId="5A95BFE5" w14:textId="77777777" w:rsidR="00AA76AC" w:rsidRPr="00B52AA9" w:rsidRDefault="00AA76AC" w:rsidP="003C54D2">
      <w:pPr>
        <w:pStyle w:val="KUJKcislovany"/>
        <w:numPr>
          <w:ilvl w:val="0"/>
          <w:numId w:val="0"/>
        </w:numPr>
      </w:pPr>
      <w:r>
        <w:t>Darovací smlouva</w:t>
      </w:r>
      <w:r w:rsidRPr="0081756D">
        <w:t xml:space="preserve"> (</w:t>
      </w:r>
      <w:r>
        <w:t>KUJK_ZK201021_389_př. Darovací smlouva.docx</w:t>
      </w:r>
      <w:r w:rsidRPr="0081756D">
        <w:t>)</w:t>
      </w:r>
    </w:p>
    <w:p w14:paraId="3DEFA34F" w14:textId="77777777" w:rsidR="00AA76AC" w:rsidRPr="00E414F5" w:rsidRDefault="00AA76AC" w:rsidP="00E414F5">
      <w:pPr>
        <w:pStyle w:val="KUJKnormal"/>
      </w:pPr>
    </w:p>
    <w:p w14:paraId="2D58F5DA" w14:textId="77777777" w:rsidR="00AA76AC" w:rsidRPr="005F4640" w:rsidRDefault="00AA76AC" w:rsidP="005F4640">
      <w:pPr>
        <w:pStyle w:val="KUJKnormal"/>
      </w:pPr>
    </w:p>
    <w:p w14:paraId="48DC721A" w14:textId="77777777" w:rsidR="00AA76AC" w:rsidRDefault="00AA76AC" w:rsidP="005F4640">
      <w:pPr>
        <w:pStyle w:val="KUJKnormal"/>
      </w:pPr>
      <w:r w:rsidRPr="005F4640">
        <w:rPr>
          <w:b/>
          <w:bCs/>
        </w:rPr>
        <w:t>Zodpovídá:</w:t>
      </w:r>
      <w:r>
        <w:t xml:space="preserve"> vedoucí OZDR - Mgr. Petr Studenovský</w:t>
      </w:r>
    </w:p>
    <w:p w14:paraId="4C123B57" w14:textId="77777777" w:rsidR="00AA76AC" w:rsidRDefault="00AA76AC" w:rsidP="005F4640">
      <w:pPr>
        <w:pStyle w:val="KUJKnormal"/>
      </w:pPr>
    </w:p>
    <w:p w14:paraId="727B6805" w14:textId="77777777" w:rsidR="00AA76AC" w:rsidRDefault="00AA76AC" w:rsidP="005F4640">
      <w:pPr>
        <w:pStyle w:val="KUJKnormal"/>
      </w:pPr>
      <w:r>
        <w:t>Termín kontroly: 30.11.2021</w:t>
      </w:r>
    </w:p>
    <w:p w14:paraId="03528BD8" w14:textId="77777777" w:rsidR="00AA76AC" w:rsidRDefault="00AA76AC" w:rsidP="005F4640">
      <w:pPr>
        <w:pStyle w:val="KUJKnormal"/>
      </w:pPr>
      <w:r>
        <w:t>Termín splnění: 30.11.2021</w:t>
      </w:r>
    </w:p>
    <w:p w14:paraId="10CB930C" w14:textId="77777777" w:rsidR="00AA76AC" w:rsidRDefault="00AA76AC" w:rsidP="003E1417">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3F6E" w14:textId="77777777" w:rsidR="00C7404F" w:rsidRDefault="00C7404F" w:rsidP="002C5539">
      <w:r>
        <w:separator/>
      </w:r>
    </w:p>
  </w:endnote>
  <w:endnote w:type="continuationSeparator" w:id="0">
    <w:p w14:paraId="3CF3E022" w14:textId="77777777" w:rsidR="00C7404F" w:rsidRDefault="00C7404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7404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7404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25D6" w14:textId="77777777" w:rsidR="00C7404F" w:rsidRDefault="00C7404F" w:rsidP="002C5539">
      <w:r>
        <w:separator/>
      </w:r>
    </w:p>
  </w:footnote>
  <w:footnote w:type="continuationSeparator" w:id="0">
    <w:p w14:paraId="4BF5482C" w14:textId="77777777" w:rsidR="00C7404F" w:rsidRDefault="00C7404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AAF5" w14:textId="77777777" w:rsidR="00AA76AC" w:rsidRDefault="00AA76AC" w:rsidP="00AA76AC">
    <w:r>
      <w:rPr>
        <w:noProof/>
      </w:rPr>
      <w:pict w14:anchorId="7C21284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2E69688" w14:textId="77777777" w:rsidR="00AA76AC" w:rsidRPr="00D405BE" w:rsidRDefault="00AA76AC" w:rsidP="00AA76AC">
                <w:pPr>
                  <w:spacing w:after="60"/>
                  <w:rPr>
                    <w:rFonts w:cs="Arial"/>
                    <w:b/>
                    <w:sz w:val="22"/>
                  </w:rPr>
                </w:pPr>
                <w:r w:rsidRPr="00D405BE">
                  <w:rPr>
                    <w:rFonts w:cs="Arial"/>
                    <w:b/>
                    <w:sz w:val="22"/>
                  </w:rPr>
                  <w:t>ZASTUPITELSTVO JIHOČESKÉHO KRAJE</w:t>
                </w:r>
              </w:p>
              <w:p w14:paraId="6329882A" w14:textId="77777777" w:rsidR="00AA76AC" w:rsidRPr="00D405BE" w:rsidRDefault="00AA76AC" w:rsidP="00AA76AC">
                <w:pPr>
                  <w:spacing w:after="60"/>
                  <w:rPr>
                    <w:rFonts w:cs="Arial"/>
                    <w:sz w:val="22"/>
                  </w:rPr>
                </w:pPr>
                <w:r w:rsidRPr="00D405BE">
                  <w:rPr>
                    <w:rFonts w:cs="Arial"/>
                    <w:sz w:val="22"/>
                  </w:rPr>
                  <w:t>NÁVRH USNESENÍ</w:t>
                </w:r>
              </w:p>
            </w:txbxContent>
          </v:textbox>
        </v:shape>
      </w:pict>
    </w:r>
    <w:r>
      <w:rPr>
        <w:noProof/>
      </w:rPr>
    </w:r>
    <w:r>
      <w:pict w14:anchorId="5F0D257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66384B3">
        <v:rect id="_x0000_i1026" style="width:481.9pt;height:2pt" o:hralign="center" o:hrstd="t" o:hrnoshade="t" o:hr="t" fillcolor="black" stroked="f"/>
      </w:pict>
    </w:r>
  </w:p>
  <w:p w14:paraId="417B7B6F" w14:textId="77777777" w:rsidR="00AA76AC" w:rsidRPr="00AA76AC" w:rsidRDefault="00AA76AC" w:rsidP="00AA76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4883"/>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6AC"/>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04F"/>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3916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2026-01-30T10:16:00Z</dcterms:created>
  <dcterms:modified xsi:type="dcterms:W3CDTF">2026-01-30T10:16:00Z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5764341</vt:i4>
  </property>
  <property fmtid="{D5CDD505-2E9C-101B-9397-08002B2CF9AE}" pid="5" name="UlozitJako">
    <vt:lpwstr>C:\Users\mrazkova\AppData\Local\Temp\iU51678104\Zastupitelstvo\2021-10-20\Navrhy\389-ZK-21.</vt:lpwstr>
  </property>
  <property fmtid="{D5CDD505-2E9C-101B-9397-08002B2CF9AE}" pid="6" name="Zpracovat">
    <vt:bool>false</vt:bool>
  </property>
</Properties>
</file>