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4116" w14:paraId="0DA1D4CF" w14:textId="77777777" w:rsidTr="00D912ED">
        <w:trPr>
          <w:trHeight w:hRule="exact" w:val="397"/>
        </w:trPr>
        <w:tc>
          <w:tcPr>
            <w:tcW w:w="2376" w:type="dxa"/>
            <w:hideMark/>
          </w:tcPr>
          <w:p w14:paraId="535A5D1A" w14:textId="77777777" w:rsidR="00F74116" w:rsidRDefault="00F74116" w:rsidP="00214B8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B28B22" w14:textId="77777777" w:rsidR="00F74116" w:rsidRDefault="00F74116" w:rsidP="00214B84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78906546" w14:textId="77777777" w:rsidR="00F74116" w:rsidRDefault="00F74116" w:rsidP="00214B8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8A2B09" w14:textId="77777777" w:rsidR="00F74116" w:rsidRDefault="00F74116" w:rsidP="00214B84">
            <w:pPr>
              <w:pStyle w:val="KUJKnormal"/>
            </w:pPr>
          </w:p>
        </w:tc>
      </w:tr>
      <w:tr w:rsidR="00F74116" w14:paraId="7A4B7D72" w14:textId="77777777" w:rsidTr="00D912ED">
        <w:trPr>
          <w:cantSplit/>
          <w:trHeight w:hRule="exact" w:val="397"/>
        </w:trPr>
        <w:tc>
          <w:tcPr>
            <w:tcW w:w="2376" w:type="dxa"/>
            <w:hideMark/>
          </w:tcPr>
          <w:p w14:paraId="146DC931" w14:textId="77777777" w:rsidR="00F74116" w:rsidRDefault="00F74116" w:rsidP="00214B8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CC14EC" w14:textId="77777777" w:rsidR="00F74116" w:rsidRDefault="00F74116" w:rsidP="00214B84">
            <w:pPr>
              <w:pStyle w:val="KUJKnormal"/>
            </w:pPr>
            <w:r>
              <w:t>302/ZK/21</w:t>
            </w:r>
          </w:p>
        </w:tc>
      </w:tr>
      <w:tr w:rsidR="00F74116" w14:paraId="6A35E8B3" w14:textId="77777777" w:rsidTr="00D912ED">
        <w:trPr>
          <w:trHeight w:val="397"/>
        </w:trPr>
        <w:tc>
          <w:tcPr>
            <w:tcW w:w="2376" w:type="dxa"/>
          </w:tcPr>
          <w:p w14:paraId="3D1864D7" w14:textId="77777777" w:rsidR="00F74116" w:rsidRDefault="00F74116" w:rsidP="00214B84"/>
          <w:p w14:paraId="6BE171A2" w14:textId="77777777" w:rsidR="00F74116" w:rsidRDefault="00F74116" w:rsidP="00214B8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D13269" w14:textId="77777777" w:rsidR="00F74116" w:rsidRDefault="00F74116" w:rsidP="00214B84"/>
          <w:p w14:paraId="6E87C8F9" w14:textId="77777777" w:rsidR="00F74116" w:rsidRDefault="00F74116" w:rsidP="00214B8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Jihočeského kraje podle stavu k 30. 6. 2021</w:t>
            </w:r>
          </w:p>
        </w:tc>
      </w:tr>
    </w:tbl>
    <w:p w14:paraId="312CF8C4" w14:textId="77777777" w:rsidR="00F74116" w:rsidRDefault="00F74116" w:rsidP="00D912ED">
      <w:pPr>
        <w:pStyle w:val="KUJKnormal"/>
        <w:rPr>
          <w:b/>
          <w:bCs/>
        </w:rPr>
      </w:pPr>
      <w:r>
        <w:rPr>
          <w:b/>
          <w:bCs/>
        </w:rPr>
        <w:pict w14:anchorId="27DFE00C">
          <v:rect id="_x0000_i1027" style="width:453.6pt;height:1.5pt" o:hralign="center" o:hrstd="t" o:hrnoshade="t" o:hr="t" fillcolor="black" stroked="f"/>
        </w:pict>
      </w:r>
    </w:p>
    <w:p w14:paraId="25503399" w14:textId="77777777" w:rsidR="00F74116" w:rsidRDefault="00F74116" w:rsidP="00D912ED">
      <w:pPr>
        <w:pStyle w:val="KUJKnormal"/>
      </w:pPr>
    </w:p>
    <w:p w14:paraId="10D8377F" w14:textId="77777777" w:rsidR="00F74116" w:rsidRDefault="00F74116" w:rsidP="00D912E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4116" w14:paraId="1FB859F6" w14:textId="77777777" w:rsidTr="00214B84">
        <w:trPr>
          <w:trHeight w:val="397"/>
        </w:trPr>
        <w:tc>
          <w:tcPr>
            <w:tcW w:w="2350" w:type="dxa"/>
            <w:hideMark/>
          </w:tcPr>
          <w:p w14:paraId="51D5BE7B" w14:textId="77777777" w:rsidR="00F74116" w:rsidRDefault="00F74116" w:rsidP="00214B8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F94922" w14:textId="77777777" w:rsidR="00F74116" w:rsidRDefault="00F74116" w:rsidP="00214B84">
            <w:pPr>
              <w:pStyle w:val="KUJKnormal"/>
            </w:pPr>
            <w:r>
              <w:t>Ing. Tomáš Hajdušek</w:t>
            </w:r>
          </w:p>
          <w:p w14:paraId="697745A9" w14:textId="77777777" w:rsidR="00F74116" w:rsidRDefault="00F74116" w:rsidP="00214B84"/>
        </w:tc>
      </w:tr>
      <w:tr w:rsidR="00F74116" w14:paraId="40C36815" w14:textId="77777777" w:rsidTr="00214B84">
        <w:trPr>
          <w:trHeight w:val="397"/>
        </w:trPr>
        <w:tc>
          <w:tcPr>
            <w:tcW w:w="2350" w:type="dxa"/>
          </w:tcPr>
          <w:p w14:paraId="7E5FE59D" w14:textId="77777777" w:rsidR="00F74116" w:rsidRDefault="00F74116" w:rsidP="00214B84">
            <w:pPr>
              <w:pStyle w:val="KUJKtucny"/>
            </w:pPr>
            <w:r>
              <w:t>Zpracoval:</w:t>
            </w:r>
          </w:p>
          <w:p w14:paraId="3FF8C187" w14:textId="77777777" w:rsidR="00F74116" w:rsidRDefault="00F74116" w:rsidP="00214B84"/>
        </w:tc>
        <w:tc>
          <w:tcPr>
            <w:tcW w:w="6862" w:type="dxa"/>
            <w:hideMark/>
          </w:tcPr>
          <w:p w14:paraId="45253DDF" w14:textId="77777777" w:rsidR="00F74116" w:rsidRDefault="00F74116" w:rsidP="00214B84">
            <w:pPr>
              <w:pStyle w:val="KUJKnormal"/>
            </w:pPr>
            <w:r>
              <w:t>OEKO</w:t>
            </w:r>
          </w:p>
        </w:tc>
      </w:tr>
      <w:tr w:rsidR="00F74116" w14:paraId="3AF2EC43" w14:textId="77777777" w:rsidTr="00214B84">
        <w:trPr>
          <w:trHeight w:val="397"/>
        </w:trPr>
        <w:tc>
          <w:tcPr>
            <w:tcW w:w="2350" w:type="dxa"/>
          </w:tcPr>
          <w:p w14:paraId="237CBFD4" w14:textId="77777777" w:rsidR="00F74116" w:rsidRPr="009715F9" w:rsidRDefault="00F74116" w:rsidP="00214B8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D7E576" w14:textId="77777777" w:rsidR="00F74116" w:rsidRDefault="00F74116" w:rsidP="00214B84"/>
        </w:tc>
        <w:tc>
          <w:tcPr>
            <w:tcW w:w="6862" w:type="dxa"/>
            <w:hideMark/>
          </w:tcPr>
          <w:p w14:paraId="0C8A9140" w14:textId="77777777" w:rsidR="00F74116" w:rsidRDefault="00F74116" w:rsidP="00214B84">
            <w:pPr>
              <w:pStyle w:val="KUJKnormal"/>
            </w:pPr>
            <w:r>
              <w:t>Ing. Ladislav Staněk</w:t>
            </w:r>
          </w:p>
        </w:tc>
      </w:tr>
    </w:tbl>
    <w:p w14:paraId="145EA008" w14:textId="77777777" w:rsidR="00F74116" w:rsidRDefault="00F74116" w:rsidP="00D912ED">
      <w:pPr>
        <w:pStyle w:val="KUJKnormal"/>
      </w:pPr>
    </w:p>
    <w:p w14:paraId="0D2E16A5" w14:textId="77777777" w:rsidR="00F74116" w:rsidRPr="0052161F" w:rsidRDefault="00F74116" w:rsidP="00D912ED">
      <w:pPr>
        <w:pStyle w:val="KUJKtucny"/>
      </w:pPr>
      <w:r w:rsidRPr="0052161F">
        <w:t>NÁVRH USNESENÍ</w:t>
      </w:r>
    </w:p>
    <w:p w14:paraId="3C277336" w14:textId="77777777" w:rsidR="00F74116" w:rsidRDefault="00F74116" w:rsidP="00D912E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07BAC18" w14:textId="77777777" w:rsidR="00F74116" w:rsidRPr="00841DFC" w:rsidRDefault="00F74116" w:rsidP="00F74116">
      <w:pPr>
        <w:pStyle w:val="KUJKPolozka"/>
        <w:spacing w:line="240" w:lineRule="auto"/>
      </w:pPr>
      <w:r w:rsidRPr="00841DFC">
        <w:t>Zastupitelstvo Jihočeského kraje</w:t>
      </w:r>
    </w:p>
    <w:p w14:paraId="3385E784" w14:textId="77777777" w:rsidR="00F74116" w:rsidRDefault="00F74116" w:rsidP="000E1D77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330F81C7" w14:textId="77777777" w:rsidR="00F74116" w:rsidRDefault="00F74116" w:rsidP="00D912ED">
      <w:pPr>
        <w:pStyle w:val="KUJKnormal"/>
      </w:pPr>
      <w:r w:rsidRPr="000E1D77">
        <w:t>informaci o plnění rozpočtu Jihočeského kraje k 30. 6. 2021 dle důvodové zprávy a příloh návrhu č.</w:t>
      </w:r>
      <w:r>
        <w:t> 302</w:t>
      </w:r>
      <w:r w:rsidRPr="000E1D77">
        <w:t>/RK/21.</w:t>
      </w:r>
    </w:p>
    <w:p w14:paraId="74F28C6D" w14:textId="77777777" w:rsidR="00F74116" w:rsidRDefault="00F74116" w:rsidP="00D912ED">
      <w:pPr>
        <w:pStyle w:val="KUJKnormal"/>
      </w:pPr>
    </w:p>
    <w:p w14:paraId="18022956" w14:textId="77777777" w:rsidR="00F74116" w:rsidRDefault="00F74116" w:rsidP="000E1D77">
      <w:pPr>
        <w:pStyle w:val="KUJKmezeraDZ"/>
      </w:pPr>
      <w:bookmarkStart w:id="2" w:name="US_DuvodZprava"/>
      <w:bookmarkEnd w:id="2"/>
    </w:p>
    <w:p w14:paraId="25F885E9" w14:textId="77777777" w:rsidR="00F74116" w:rsidRDefault="00F74116" w:rsidP="000E1D77">
      <w:pPr>
        <w:pStyle w:val="KUJKnadpisDZ"/>
      </w:pPr>
      <w:r>
        <w:t>DŮVODOVÁ ZPRÁVA</w:t>
      </w:r>
    </w:p>
    <w:p w14:paraId="4A3601ED" w14:textId="77777777" w:rsidR="00F74116" w:rsidRPr="009B7B0B" w:rsidRDefault="00F74116" w:rsidP="000E1D77">
      <w:pPr>
        <w:pStyle w:val="KUJKmezeraDZ"/>
      </w:pPr>
    </w:p>
    <w:p w14:paraId="14F4C97A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Materiál je předkládán na základě usnesení č. 134/2016/ZK-22, které ukládá zařazovat do programu jednání zastupitelstva kraje informaci o plnění rozpočtu s pololetní periodicitou.</w:t>
      </w:r>
    </w:p>
    <w:p w14:paraId="0DE201C6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Cílem obsahu textové části, obsaženého v důvodové zprávě, je podat informace o výsledcích rozpočtového hospodaření za sledované období včetně příslušných zdůvodnění. K návrhu je připojena tabulková část s </w:t>
      </w:r>
      <w:bookmarkStart w:id="3" w:name="_Hlk68105725"/>
      <w:r>
        <w:rPr>
          <w:rFonts w:ascii="Arial" w:eastAsia="Times New Roman" w:hAnsi="Arial" w:cs="Arial"/>
          <w:iCs/>
          <w:szCs w:val="20"/>
          <w:lang w:eastAsia="cs-CZ"/>
        </w:rPr>
        <w:t>bilancí a přehledem vybraných ukazatelů za 1. pololetí 202</w:t>
      </w:r>
      <w:bookmarkEnd w:id="3"/>
      <w:r>
        <w:rPr>
          <w:rFonts w:ascii="Arial" w:eastAsia="Times New Roman" w:hAnsi="Arial" w:cs="Arial"/>
          <w:iCs/>
          <w:szCs w:val="20"/>
          <w:lang w:eastAsia="cs-CZ"/>
        </w:rPr>
        <w:t>1 (příloha č. 1) a dále příloha č. 2, která obsahuje oficiální výkaz Jihočeského kraje za hodnocené období. Výkaz byl předán ve stanovené lhůtě do Centrálního systému účetních informací státu.</w:t>
      </w:r>
    </w:p>
    <w:p w14:paraId="326AC21A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Ve vykazovaném období leden až červen 2021 bylo dosaženo přebytku hospodaření ve výši 2 221 811 823,26 Kč.</w:t>
      </w:r>
    </w:p>
    <w:p w14:paraId="44A529A0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Materiál byl v totožné podobě předložen na 22. jednání rady dne 25. 8. 2021 a dále na 7. jednání finančního výboru dne 30. 8. 2021.</w:t>
      </w:r>
    </w:p>
    <w:p w14:paraId="0F3AB239" w14:textId="77777777" w:rsidR="00F74116" w:rsidRDefault="00F74116" w:rsidP="001C0D43">
      <w:pPr>
        <w:pStyle w:val="KUJKnormal"/>
      </w:pPr>
    </w:p>
    <w:p w14:paraId="59D3F90A" w14:textId="77777777" w:rsidR="00F74116" w:rsidRDefault="00F74116" w:rsidP="00F74116">
      <w:pPr>
        <w:keepNext/>
        <w:numPr>
          <w:ilvl w:val="0"/>
          <w:numId w:val="11"/>
        </w:numPr>
        <w:spacing w:before="240" w:after="120" w:line="240" w:lineRule="auto"/>
        <w:outlineLvl w:val="0"/>
        <w:rPr>
          <w:rFonts w:ascii="Arial" w:eastAsia="Arial Unicode MS" w:hAnsi="Arial" w:cs="Arial"/>
          <w:b/>
          <w:bCs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Cs w:val="20"/>
          <w:u w:val="single"/>
          <w:lang w:eastAsia="cs-CZ"/>
        </w:rPr>
        <w:t>Úvod</w:t>
      </w:r>
    </w:p>
    <w:p w14:paraId="3405E7A6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 xml:space="preserve">Zdrojem údajů pro sestavení textové části rozboru jsou data z finančního výkazu Jihočeského kraje </w:t>
      </w:r>
      <w:r>
        <w:rPr>
          <w:rFonts w:ascii="Arial" w:eastAsia="Times New Roman" w:hAnsi="Arial" w:cs="Arial"/>
          <w:i/>
          <w:iCs/>
          <w:szCs w:val="20"/>
          <w:lang w:eastAsia="cs-CZ"/>
        </w:rPr>
        <w:t>(„Výkaz pro hodnocení plnění rozpočtu územních samosprávných celků, dobrovolných svazků obcí a regionálních rad – Výkaz FIN 2-12 M“</w:t>
      </w:r>
      <w:r>
        <w:rPr>
          <w:rFonts w:ascii="Arial" w:eastAsia="Times New Roman" w:hAnsi="Arial" w:cs="Arial"/>
          <w:iCs/>
          <w:szCs w:val="20"/>
          <w:lang w:eastAsia="cs-CZ"/>
        </w:rPr>
        <w:t>) za období 6/2021 a dále údaje čerpané z účetního a rozpočtového SW Ginis za stejné období. Veškeré číselné parametry jsou uvedeny po konsolidaci příjmů a výdajů.</w:t>
      </w:r>
    </w:p>
    <w:p w14:paraId="61949E2C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Publikované součtové údaje v tabulkách jsou v některých případech zatíženy nepřesností na posledním desetinném místě vzhledem k zaokrouhlování.</w:t>
      </w:r>
    </w:p>
    <w:p w14:paraId="1D84FA25" w14:textId="77777777" w:rsidR="00F74116" w:rsidRDefault="00F74116" w:rsidP="001C0D43">
      <w:pPr>
        <w:spacing w:after="120"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lastRenderedPageBreak/>
        <w:t xml:space="preserve">Detailní pohled do jednotlivých příjmů a výdajů umožňují aplikace </w:t>
      </w:r>
      <w:r>
        <w:rPr>
          <w:rFonts w:ascii="Arial" w:hAnsi="Arial" w:cs="Arial"/>
          <w:b/>
          <w:bCs/>
          <w:szCs w:val="20"/>
          <w:lang w:eastAsia="cs-CZ"/>
        </w:rPr>
        <w:t>ROZKLIKÁVACÍ ROZPOČET</w:t>
      </w:r>
      <w:r>
        <w:rPr>
          <w:rFonts w:ascii="Arial" w:hAnsi="Arial" w:cs="Arial"/>
          <w:szCs w:val="20"/>
          <w:lang w:eastAsia="cs-CZ"/>
        </w:rPr>
        <w:t xml:space="preserve"> a </w:t>
      </w:r>
      <w:r>
        <w:rPr>
          <w:rFonts w:ascii="Arial" w:hAnsi="Arial" w:cs="Arial"/>
          <w:b/>
          <w:bCs/>
          <w:szCs w:val="20"/>
          <w:lang w:eastAsia="cs-CZ"/>
        </w:rPr>
        <w:t>NOVÝ ROZKLIKÁVACÍ ROZPOČET</w:t>
      </w:r>
      <w:r>
        <w:rPr>
          <w:rFonts w:ascii="Arial" w:hAnsi="Arial" w:cs="Arial"/>
          <w:szCs w:val="20"/>
          <w:lang w:eastAsia="cs-CZ"/>
        </w:rPr>
        <w:t xml:space="preserve"> Jihočeského kraje, které jsou k dispozici na webových stránkách Jihočeského kraje pod odkazem: </w:t>
      </w:r>
      <w:hyperlink r:id="rId8" w:history="1">
        <w:r>
          <w:rPr>
            <w:rStyle w:val="Hypertextovodkaz"/>
            <w:rFonts w:ascii="Arial" w:hAnsi="Arial" w:cs="Arial"/>
            <w:szCs w:val="20"/>
            <w:lang w:eastAsia="cs-CZ"/>
          </w:rPr>
          <w:t>https://www.kraj-jihocesky.cz/index.php/jihocesky-kraj/hospodareni-kraje</w:t>
        </w:r>
      </w:hyperlink>
      <w:r>
        <w:rPr>
          <w:rFonts w:ascii="Arial" w:hAnsi="Arial" w:cs="Arial"/>
          <w:szCs w:val="20"/>
          <w:lang w:eastAsia="cs-CZ"/>
        </w:rPr>
        <w:t xml:space="preserve">. Na těchto rozpočtových portálech jsou pravidelně každý měsíc zveřejňovány aktuální údaje o plnění rozpočtu. </w:t>
      </w:r>
    </w:p>
    <w:p w14:paraId="117D1019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05DF3A78" w14:textId="77777777" w:rsidR="00F74116" w:rsidRDefault="00F74116" w:rsidP="00F74116">
      <w:pPr>
        <w:keepNext/>
        <w:numPr>
          <w:ilvl w:val="0"/>
          <w:numId w:val="11"/>
        </w:numPr>
        <w:spacing w:before="120" w:after="120" w:line="240" w:lineRule="auto"/>
        <w:outlineLvl w:val="0"/>
        <w:rPr>
          <w:rFonts w:ascii="Arial" w:eastAsia="Arial Unicode MS" w:hAnsi="Arial" w:cs="Arial"/>
          <w:b/>
          <w:bCs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Cs w:val="20"/>
          <w:u w:val="single"/>
          <w:lang w:eastAsia="cs-CZ"/>
        </w:rPr>
        <w:t>Základní charakteristiky finančního hospodaření kraje</w:t>
      </w:r>
    </w:p>
    <w:p w14:paraId="5FD2C796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Rozpočet na rok 2021 byl schválen usnesením Zastupitelstva Jihočeského kraje č. 25/2020/ZK-3 ze dne 17. 12. 2020 jako schodkový s celkovými příjmy 20 113 963 800 Kč, celkovými výdaji 21 314 944 600 Kč a schodkem ve výši 1 200 980 800 Kč.</w:t>
      </w:r>
    </w:p>
    <w:p w14:paraId="343FB5F6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Ke krytí schodku bylo spolu s financováním přitom schváleno zapojení finančních prostředků z minulých let, deponovaných na účtech účelových fondů kraje v úhrnném objemu 1 200 980 800 Kč (z toho zapojení části zůstatku Fondu rezerv a rozvoje Jihočeského kraje ve výši 1 125 834 200 Kč).</w:t>
      </w:r>
    </w:p>
    <w:p w14:paraId="0B346A7F" w14:textId="77777777" w:rsidR="00F74116" w:rsidRDefault="00F74116" w:rsidP="001C0D4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V průběhu 1. pololetí byly příjmy i výdaje schváleného rozpočtu průběžně upravovány rozpočtovými opatřeními, evidovanými v časové posloupnosti.</w:t>
      </w:r>
    </w:p>
    <w:p w14:paraId="74E65297" w14:textId="77777777" w:rsidR="00F74116" w:rsidRDefault="00F74116" w:rsidP="001C0D4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Důvodem rozpočtových opatření, provedených počátkem roku, byly zejména převody nevyčerpaných prostředků z roku 2020 do roku 2021.</w:t>
      </w:r>
    </w:p>
    <w:p w14:paraId="42FB5D7F" w14:textId="77777777" w:rsidR="00F74116" w:rsidRDefault="00F74116" w:rsidP="001C0D4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 xml:space="preserve"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</w:t>
      </w:r>
    </w:p>
    <w:p w14:paraId="403EA7AE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 xml:space="preserve">Po provedení veškerých rozpočtových opatření, došlo k navýšení celkových příjmů schváleného rozpočtu o 325 097,87 tis. Kč a navýšení celkových výdajů o 1 087 530,38 tis. Kč. Tyto rozpočtové změny měly ve svém konečném důsledku dopad do záporného salda schváleného rozpočtu, který se projevil jeho navýšením o 762 432,51 tis. Kč. Dle upraveného rozpočtu na konci prvního pololetí se tak předpokládal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maximální povolený schodek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na rok 2021 na úrovni 1 963 413,31 tis. Kč.</w:t>
      </w:r>
    </w:p>
    <w:p w14:paraId="3EB3902F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 xml:space="preserve">Rozpočtové hospodaření Jihočeského kraje podle stavu k 30. 6. 2021 vykazuje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skutečný přebytek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ve výši 2 221 811,82 tis. Kč. Základní parametry schváleného rozpočtu, upraveného rozpočtu a skutečnosti za 1. pololetí roku 2021 jsou patrné z následujícího přehledu.</w:t>
      </w:r>
    </w:p>
    <w:p w14:paraId="09AF29FA" w14:textId="77777777" w:rsidR="00F74116" w:rsidRDefault="00F74116" w:rsidP="001C0D43">
      <w:pPr>
        <w:spacing w:before="240" w:after="60"/>
        <w:jc w:val="both"/>
        <w:rPr>
          <w:rFonts w:ascii="Arial" w:eastAsia="Times New Roman" w:hAnsi="Arial" w:cs="Arial"/>
          <w:b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Tabulka č. 1: Bilance příjmů a výdajů k 30. 6. 2021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F74116" w14:paraId="19369055" w14:textId="77777777" w:rsidTr="001C0D43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FEA1990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E37690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485692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2DD403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br/>
              <w:t>30. 6. 2021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2B610B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% plnění UR</w:t>
            </w:r>
          </w:p>
        </w:tc>
      </w:tr>
      <w:tr w:rsidR="00F74116" w14:paraId="28A17D66" w14:textId="77777777" w:rsidTr="001C0D43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BBC3B" w14:textId="77777777" w:rsidR="00F74116" w:rsidRDefault="00F74116">
            <w:pP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Příjmy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1BD8" w14:textId="77777777" w:rsidR="00F74116" w:rsidRDefault="00F74116">
            <w:pPr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20 113 963,80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0357" w14:textId="77777777" w:rsidR="00F74116" w:rsidRDefault="00F74116">
            <w:pPr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20 439 061,67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DA39" w14:textId="77777777" w:rsidR="00F74116" w:rsidRDefault="00F74116">
            <w:pPr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12 615 395,61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B0B3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61,72</w:t>
            </w:r>
          </w:p>
        </w:tc>
      </w:tr>
      <w:tr w:rsidR="00F74116" w14:paraId="6E13B529" w14:textId="77777777" w:rsidTr="001C0D43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478A3" w14:textId="77777777" w:rsidR="00F74116" w:rsidRDefault="00F74116">
            <w:pP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Výdaje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E31B" w14:textId="77777777" w:rsidR="00F74116" w:rsidRDefault="00F74116">
            <w:pPr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21 314 944,60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26C7" w14:textId="77777777" w:rsidR="00F74116" w:rsidRDefault="00F74116">
            <w:pPr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22 402 474,98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5AF6" w14:textId="77777777" w:rsidR="00F74116" w:rsidRDefault="00F74116">
            <w:pPr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10 393 583,78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7D53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Cs w:val="20"/>
                <w:lang w:eastAsia="cs-CZ"/>
              </w:rPr>
              <w:t>46,39</w:t>
            </w:r>
          </w:p>
        </w:tc>
      </w:tr>
      <w:tr w:rsidR="00F74116" w14:paraId="4B1E7EE6" w14:textId="77777777" w:rsidTr="001C0D43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9E833" w14:textId="77777777" w:rsidR="00F74116" w:rsidRDefault="00F74116">
            <w:pP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Saldo příjmů a výdajů (+/-)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9B35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-1 200 980,80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2050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-1 963 413,31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71A8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+2 221 811,82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16A5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-113,16</w:t>
            </w:r>
          </w:p>
        </w:tc>
      </w:tr>
    </w:tbl>
    <w:p w14:paraId="6BF717EA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015D6E76" w14:textId="77777777" w:rsidR="00F74116" w:rsidRDefault="00F74116" w:rsidP="001C0D4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Disproporce mezi platným upraveným rozpočtem a dosaženou skutečností jsou obsahem níže uvedených komentářů.</w:t>
      </w:r>
      <w:r>
        <w:rPr>
          <w:rFonts w:ascii="Arial" w:eastAsia="Times New Roman" w:hAnsi="Arial" w:cs="Arial"/>
          <w:iCs/>
          <w:color w:val="FF000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Obecně lze přitom konstatovat, že skutečně vykázaný přebytek rozpočtového hospodaření k 30. 6. 2021 bezprostředně souvisí s časovým plněním příjmů a výdajů. Především byla kraji, jako již standardně, v červnu poskytnuta zálohová část dotace MŠMT na přímé náklady na vzdělávání na období červenec a srpen 2021 v úhrnném objemu 1 715,39 mil. Kč s redistribucí školským zařízením v následném období. Významnou roli má i skutečnost, že investiční výdaje jsou obvykle realizovány až ve druhé části roku. Z uvedených důvodů je třeba brát do úvahy, že tento relativně příznivý výsledek hospodaření (oproti upravenému rozpočtu) má spíše informativní charakter a na jeho konečnou výši bude mít dopad ještě celá řada vlivů, zejména pak realizace vlastních výdajů. </w:t>
      </w:r>
    </w:p>
    <w:p w14:paraId="7863617B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Cs w:val="20"/>
          <w:lang w:eastAsia="cs-CZ"/>
        </w:rPr>
        <w:lastRenderedPageBreak/>
        <w:t xml:space="preserve">Měsíční vývoj </w:t>
      </w:r>
      <w:r>
        <w:rPr>
          <w:rFonts w:ascii="Arial" w:eastAsia="Times New Roman" w:hAnsi="Arial" w:cs="Arial"/>
          <w:iCs/>
          <w:szCs w:val="20"/>
          <w:lang w:eastAsia="cs-CZ"/>
        </w:rPr>
        <w:t>plnění příjmů, výdajů a salda přírůstkově v průběhu 1. pololetí 2021 je zřejmý z následující tabulky a grafu.</w:t>
      </w:r>
    </w:p>
    <w:p w14:paraId="179FA9DE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6344642A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51C39A24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57FD2CB8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26A98049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4FAB4A82" w14:textId="77777777" w:rsidR="00F74116" w:rsidRDefault="00F74116" w:rsidP="001C0D43">
      <w:pPr>
        <w:spacing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79563CD5" w14:textId="77777777" w:rsidR="00F74116" w:rsidRDefault="00F74116" w:rsidP="001C0D43">
      <w:pPr>
        <w:spacing w:before="240" w:after="60"/>
        <w:jc w:val="both"/>
        <w:rPr>
          <w:rFonts w:ascii="Arial" w:eastAsia="Times New Roman" w:hAnsi="Arial" w:cs="Arial"/>
          <w:b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Tabulka č. 2: Příjmy, výdaje a saldo k 30. 6. 2021 (nápočtem, v tis. Kč)</w:t>
      </w:r>
    </w:p>
    <w:tbl>
      <w:tblPr>
        <w:tblW w:w="66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652"/>
        <w:gridCol w:w="1701"/>
        <w:gridCol w:w="1701"/>
      </w:tblGrid>
      <w:tr w:rsidR="00F74116" w14:paraId="48FC2C5F" w14:textId="77777777" w:rsidTr="001C0D43">
        <w:trPr>
          <w:trHeight w:val="69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C68AEE3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Měsíc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70A2FE0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Příjmy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CDB967E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Výdaje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292BC0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Saldo příjmů</w:t>
            </w:r>
          </w:p>
          <w:p w14:paraId="798045A1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a výdajů</w:t>
            </w:r>
          </w:p>
        </w:tc>
      </w:tr>
      <w:tr w:rsidR="00F74116" w14:paraId="46456383" w14:textId="77777777" w:rsidTr="001C0D43">
        <w:trPr>
          <w:trHeight w:val="364"/>
        </w:trPr>
        <w:tc>
          <w:tcPr>
            <w:tcW w:w="15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3F0E28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leden</w:t>
            </w:r>
          </w:p>
        </w:tc>
        <w:tc>
          <w:tcPr>
            <w:tcW w:w="165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EDF9C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3 219 772,65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53DAA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420 729,92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B5C00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+2 799 042,73</w:t>
            </w:r>
          </w:p>
        </w:tc>
      </w:tr>
      <w:tr w:rsidR="00F74116" w14:paraId="3B46AB26" w14:textId="77777777" w:rsidTr="001C0D43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0767A3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únor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FCA42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3 883 406,77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F0B24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2 605 325,67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B0A4A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+1 278 081,10</w:t>
            </w:r>
          </w:p>
        </w:tc>
      </w:tr>
      <w:tr w:rsidR="00F74116" w14:paraId="79CE1FD6" w14:textId="77777777" w:rsidTr="001C0D43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0B656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březen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FB96F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6 244 298,06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9E05F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5 664 434,83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15887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+579 863,23</w:t>
            </w:r>
          </w:p>
        </w:tc>
      </w:tr>
      <w:tr w:rsidR="00F74116" w14:paraId="14D2B3A8" w14:textId="77777777" w:rsidTr="001C0D43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A84B0D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duben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42ABC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7 101 658,18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82F43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6 468 574,16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9E353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+633 084,02</w:t>
            </w:r>
          </w:p>
        </w:tc>
      </w:tr>
      <w:tr w:rsidR="00F74116" w14:paraId="2C030CB3" w14:textId="77777777" w:rsidTr="001C0D43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42F8F6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květen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5F9C5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9 395 713,39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AC8C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9 017 616,04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73041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+378 097,35</w:t>
            </w:r>
          </w:p>
        </w:tc>
      </w:tr>
      <w:tr w:rsidR="00F74116" w14:paraId="267156D9" w14:textId="77777777" w:rsidTr="001C0D43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0AF5C3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červen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2FF4D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12 615 395,61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8EF10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10 393 583,78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7F43C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+2 221 811,83</w:t>
            </w:r>
          </w:p>
        </w:tc>
      </w:tr>
    </w:tbl>
    <w:p w14:paraId="651D8D62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39C5DE8A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 xml:space="preserve">Graf č. 1: Měsíční vývoj salda příjmů a výdajů k 30. 6. 2021 (v tis. Kč) </w:t>
      </w:r>
    </w:p>
    <w:p w14:paraId="76F72A39" w14:textId="77777777" w:rsidR="00F74116" w:rsidRDefault="00F74116" w:rsidP="001C0D43">
      <w:pPr>
        <w:spacing w:before="120"/>
        <w:jc w:val="center"/>
        <w:rPr>
          <w:rFonts w:ascii="Arial" w:eastAsia="Times New Roman" w:hAnsi="Arial" w:cs="Arial"/>
          <w:szCs w:val="20"/>
          <w:lang w:eastAsia="cs-CZ"/>
        </w:rPr>
      </w:pPr>
      <w:r>
        <w:rPr>
          <w:noProof/>
        </w:rPr>
        <w:object w:dxaOrig="9660" w:dyaOrig="4875" w14:anchorId="52A2F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8" type="#_x0000_t75" style="width:483pt;height:243.6pt;visibility:visible" o:ole="">
            <v:imagedata r:id="rId9" o:title=""/>
            <o:lock v:ext="edit" aspectratio="f"/>
          </v:shape>
          <o:OLEObject Type="Embed" ProgID="Excel.Chart.8" ShapeID="Graf 1" DrawAspect="Content" ObjectID="_1831276363" r:id="rId10">
            <o:FieldCodes>\s</o:FieldCodes>
          </o:OLEObject>
        </w:object>
      </w:r>
    </w:p>
    <w:p w14:paraId="031BC199" w14:textId="77777777" w:rsidR="00F74116" w:rsidRDefault="00F74116" w:rsidP="001C0D43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Saldo hospodaření dosažené za sledované období má přímý dopad do kategorie Financování a ve skutečnosti se projevuje snížením potřeby zapojení finančních prostředků z minulých let pro vyrovnání rozpočtového deficitu. Jedná se o položku </w:t>
      </w:r>
      <w:r>
        <w:rPr>
          <w:rFonts w:ascii="Arial" w:eastAsia="Times New Roman" w:hAnsi="Arial" w:cs="Arial"/>
          <w:i/>
          <w:iCs/>
          <w:szCs w:val="20"/>
          <w:lang w:eastAsia="cs-CZ"/>
        </w:rPr>
        <w:t>„Změna stavu na bankovních účtech“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14:paraId="5ADECBD8" w14:textId="77777777" w:rsidR="00F74116" w:rsidRDefault="00F74116" w:rsidP="001C0D43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lastRenderedPageBreak/>
        <w:t xml:space="preserve">Na položce </w:t>
      </w:r>
      <w:bookmarkStart w:id="4" w:name="_Hlk68084832"/>
      <w:r>
        <w:rPr>
          <w:rFonts w:ascii="Arial" w:eastAsia="Times New Roman" w:hAnsi="Arial" w:cs="Arial"/>
          <w:i/>
          <w:szCs w:val="20"/>
          <w:lang w:eastAsia="cs-CZ"/>
        </w:rPr>
        <w:t>„Aktivní krátkodobé operace řízení likvidity“</w:t>
      </w:r>
      <w:bookmarkEnd w:id="4"/>
      <w:r>
        <w:rPr>
          <w:rFonts w:ascii="Arial" w:eastAsia="Times New Roman" w:hAnsi="Arial" w:cs="Arial"/>
          <w:szCs w:val="20"/>
          <w:lang w:eastAsia="cs-CZ"/>
        </w:rPr>
        <w:t xml:space="preserve"> se vzájemně kompenzují operace při založení a automatické obnově termínovaných vkladů v případě dočasně volných prostředků Fondu rezerv a rozvoje. Konkrétně se jedná o </w:t>
      </w:r>
      <w:r>
        <w:rPr>
          <w:rFonts w:ascii="Arial" w:eastAsia="Times New Roman" w:hAnsi="Arial" w:cs="Arial"/>
          <w:iCs/>
          <w:szCs w:val="20"/>
          <w:lang w:eastAsia="cs-CZ"/>
        </w:rPr>
        <w:t>vklad u PPF Banky, a. s., ve výši 300 000,00 tis. Kč, vždy na jeden měsíc s možností automatického obnovení po skončení periody.</w:t>
      </w:r>
    </w:p>
    <w:p w14:paraId="303EFF54" w14:textId="77777777" w:rsidR="00F74116" w:rsidRDefault="00F74116" w:rsidP="001C0D43">
      <w:pPr>
        <w:spacing w:before="120" w:after="60"/>
        <w:jc w:val="both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Tabulka č. 3: Financování k 30. 6. 2021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(v tis. Kč)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59"/>
        <w:gridCol w:w="1425"/>
        <w:gridCol w:w="1499"/>
        <w:gridCol w:w="1187"/>
      </w:tblGrid>
      <w:tr w:rsidR="00F74116" w14:paraId="428F3BF8" w14:textId="77777777" w:rsidTr="001C0D43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7BD60C88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Ukazatel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ABC77F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Schválený rozpočet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114A5A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Upravený rozpočet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5E11CD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br/>
              <w:t>30. 6. 2021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DD944E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% plnění UR</w:t>
            </w:r>
          </w:p>
        </w:tc>
      </w:tr>
      <w:tr w:rsidR="00F74116" w14:paraId="2E4B5601" w14:textId="77777777" w:rsidTr="001C0D43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FC6573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Změna stavu na bankovních účtech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A3C6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+1 000 980,80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C936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+1 763 413,31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CDD8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-2 221 814,50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BE47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-126,00</w:t>
            </w:r>
          </w:p>
        </w:tc>
      </w:tr>
      <w:tr w:rsidR="00F74116" w14:paraId="293CAED7" w14:textId="77777777" w:rsidTr="001C0D43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F1E49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Aktivní krátkodobé operace řízení likvidity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99A7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9247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+200 000,00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9C4F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7FE8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0,00</w:t>
            </w:r>
          </w:p>
        </w:tc>
      </w:tr>
      <w:tr w:rsidR="00F74116" w14:paraId="48FEEE96" w14:textId="77777777" w:rsidTr="001C0D43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C337E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Operace nemající charakter P a 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23E5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C7BC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2BFA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+2,68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BD88" w14:textId="77777777" w:rsidR="00F74116" w:rsidRDefault="00F74116">
            <w:pPr>
              <w:ind w:firstLineChars="100" w:firstLine="200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*</w:t>
            </w:r>
          </w:p>
        </w:tc>
      </w:tr>
      <w:tr w:rsidR="00F74116" w14:paraId="0B6167EB" w14:textId="77777777" w:rsidTr="001C0D43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3C4B5" w14:textId="77777777" w:rsidR="00F74116" w:rsidRDefault="00F74116">
            <w:pP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Financování celkem (+/-)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5A40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+1 200 980,80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4E3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+1 963 413,31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F7EC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-2 221 811,82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024F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-113,16</w:t>
            </w:r>
          </w:p>
        </w:tc>
      </w:tr>
    </w:tbl>
    <w:p w14:paraId="32DC6655" w14:textId="77777777" w:rsidR="00F74116" w:rsidRDefault="00F74116" w:rsidP="001C0D43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color w:val="FF0000"/>
          <w:szCs w:val="20"/>
          <w:lang w:eastAsia="cs-CZ"/>
        </w:rPr>
      </w:pPr>
    </w:p>
    <w:p w14:paraId="4C4E9B0D" w14:textId="77777777" w:rsidR="00F74116" w:rsidRDefault="00F74116" w:rsidP="001C0D43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 30. 6. 2021 byly na peněžních účtech kraje a v pokladně vykázány tyto zůstatky: </w:t>
      </w:r>
    </w:p>
    <w:p w14:paraId="7E9F2932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bankovní účty fondů 1 407 863,69 tis. Kč,</w:t>
      </w:r>
    </w:p>
    <w:p w14:paraId="3AFC5D73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běžné účty 3 290 834,47 tis. Kč,</w:t>
      </w:r>
    </w:p>
    <w:p w14:paraId="7E99C909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účty projektů 259 132,34 tis. Kč,</w:t>
      </w:r>
    </w:p>
    <w:p w14:paraId="6CC24A50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pokladna 201,75 tis. Kč.</w:t>
      </w:r>
    </w:p>
    <w:p w14:paraId="74A9DC91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Jihočeský kraj tak na</w:t>
      </w:r>
      <w:r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konci 1. pololetí roku 2021 disponoval </w:t>
      </w:r>
      <w:r>
        <w:rPr>
          <w:rFonts w:ascii="Arial" w:eastAsia="Times New Roman" w:hAnsi="Arial" w:cs="Arial"/>
          <w:b/>
          <w:szCs w:val="20"/>
          <w:lang w:eastAsia="cs-CZ"/>
        </w:rPr>
        <w:t xml:space="preserve">zůstatkem prostředků na účtech, fondech a v pokladně </w:t>
      </w:r>
      <w:r>
        <w:rPr>
          <w:rFonts w:ascii="Arial" w:eastAsia="Times New Roman" w:hAnsi="Arial" w:cs="Arial"/>
          <w:szCs w:val="20"/>
          <w:lang w:eastAsia="cs-CZ"/>
        </w:rPr>
        <w:t>ve výši</w:t>
      </w:r>
      <w:r>
        <w:rPr>
          <w:rFonts w:ascii="Arial" w:eastAsia="Times New Roman" w:hAnsi="Arial" w:cs="Arial"/>
          <w:b/>
          <w:szCs w:val="20"/>
          <w:lang w:eastAsia="cs-CZ"/>
        </w:rPr>
        <w:t xml:space="preserve"> 4 958 032,24 tis.</w:t>
      </w:r>
      <w:bookmarkStart w:id="5" w:name="_Toc419705549"/>
      <w:r>
        <w:rPr>
          <w:rFonts w:ascii="Arial" w:eastAsia="Times New Roman" w:hAnsi="Arial" w:cs="Arial"/>
          <w:b/>
          <w:szCs w:val="20"/>
          <w:lang w:eastAsia="cs-CZ"/>
        </w:rPr>
        <w:t xml:space="preserve"> Kč</w:t>
      </w:r>
      <w:r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color w:val="FF000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Na </w:t>
      </w:r>
      <w:r>
        <w:rPr>
          <w:rFonts w:ascii="Arial" w:eastAsia="Times New Roman" w:hAnsi="Arial" w:cs="Arial"/>
          <w:b/>
          <w:szCs w:val="20"/>
          <w:lang w:eastAsia="cs-CZ"/>
        </w:rPr>
        <w:t>termínovaných vkladech a depozitním účtu</w:t>
      </w:r>
      <w:r>
        <w:rPr>
          <w:rFonts w:ascii="Arial" w:eastAsia="Times New Roman" w:hAnsi="Arial" w:cs="Arial"/>
          <w:szCs w:val="20"/>
          <w:lang w:eastAsia="cs-CZ"/>
        </w:rPr>
        <w:t xml:space="preserve"> bylo ke stejnému datu deponováno celkem </w:t>
      </w:r>
      <w:r>
        <w:rPr>
          <w:rFonts w:ascii="Arial" w:eastAsia="Times New Roman" w:hAnsi="Arial" w:cs="Arial"/>
          <w:b/>
          <w:szCs w:val="20"/>
          <w:lang w:eastAsia="cs-CZ"/>
        </w:rPr>
        <w:t>308 500,41 tis. Kč</w:t>
      </w:r>
      <w:r>
        <w:rPr>
          <w:rFonts w:ascii="Arial" w:eastAsia="Times New Roman" w:hAnsi="Arial" w:cs="Arial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b/>
          <w:szCs w:val="20"/>
          <w:lang w:eastAsia="cs-CZ"/>
        </w:rPr>
        <w:t xml:space="preserve">Celkový zůstatek veškerých finančních prostředků kraje </w:t>
      </w:r>
      <w:r>
        <w:rPr>
          <w:rFonts w:ascii="Arial" w:eastAsia="Times New Roman" w:hAnsi="Arial" w:cs="Arial"/>
          <w:szCs w:val="20"/>
          <w:lang w:eastAsia="cs-CZ"/>
        </w:rPr>
        <w:t>tak k 30. 6. 2021 činil</w:t>
      </w:r>
      <w:r>
        <w:rPr>
          <w:rFonts w:ascii="Arial" w:eastAsia="Times New Roman" w:hAnsi="Arial" w:cs="Arial"/>
          <w:b/>
          <w:szCs w:val="20"/>
          <w:lang w:eastAsia="cs-CZ"/>
        </w:rPr>
        <w:t xml:space="preserve"> 5 266 532,65 tis. Kč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14:paraId="337F8A1B" w14:textId="77777777" w:rsidR="00F74116" w:rsidRDefault="00F74116" w:rsidP="001C0D43">
      <w:pPr>
        <w:keepNext/>
        <w:spacing w:before="120" w:after="120"/>
        <w:ind w:left="360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EE20926" w14:textId="77777777" w:rsidR="00F74116" w:rsidRDefault="00F74116" w:rsidP="00F74116">
      <w:pPr>
        <w:keepNext/>
        <w:numPr>
          <w:ilvl w:val="0"/>
          <w:numId w:val="11"/>
        </w:numPr>
        <w:spacing w:before="120" w:after="120" w:line="240" w:lineRule="auto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Arial Unicode MS" w:hAnsi="Arial" w:cs="Arial"/>
          <w:b/>
          <w:bCs/>
          <w:szCs w:val="20"/>
          <w:u w:val="single"/>
          <w:lang w:eastAsia="cs-CZ"/>
        </w:rPr>
        <w:t>Příjmy, výdaje a financování kraje</w:t>
      </w:r>
      <w:bookmarkEnd w:id="5"/>
    </w:p>
    <w:p w14:paraId="0085BA65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Údaje o plnění rozpočtu kraje vycházejí z účetních a finančních výkazů k datu 30. 6. 2021.</w:t>
      </w:r>
    </w:p>
    <w:p w14:paraId="254C6206" w14:textId="77777777" w:rsidR="00F74116" w:rsidRDefault="00F74116" w:rsidP="001C0D43">
      <w:pPr>
        <w:spacing w:before="240" w:after="60"/>
        <w:jc w:val="both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Tabulka č. 4: Struktura a plnění příjmů a výdajů k 30. 6. 2021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F74116" w14:paraId="70C9DAD1" w14:textId="77777777" w:rsidTr="001C0D43">
        <w:trPr>
          <w:trHeight w:val="77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E5955E5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Ukazatel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441361A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Schválený</w:t>
            </w:r>
          </w:p>
          <w:p w14:paraId="14C56814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4367891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Upravený</w:t>
            </w:r>
          </w:p>
          <w:p w14:paraId="68BC4072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901334D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Skutečnost</w:t>
            </w:r>
          </w:p>
          <w:p w14:paraId="5E19DB4D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30. 6. 2021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0FEFA02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% plnění UR</w:t>
            </w:r>
          </w:p>
        </w:tc>
      </w:tr>
      <w:tr w:rsidR="00F74116" w14:paraId="2049F875" w14:textId="77777777" w:rsidTr="001C0D43">
        <w:trPr>
          <w:trHeight w:val="330"/>
        </w:trPr>
        <w:tc>
          <w:tcPr>
            <w:tcW w:w="29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DC77B2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Daňové příjmy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88D34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5 983 790,00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DDDCE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5 998 920,00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3007B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3 114 477,92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61D97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51,92</w:t>
            </w:r>
          </w:p>
        </w:tc>
      </w:tr>
      <w:tr w:rsidR="00F74116" w14:paraId="77EC413D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CD68BC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Nedaňové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7D208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518 024,41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15FA9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499 668,29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FBFD1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203 023,57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EA491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40,63</w:t>
            </w:r>
          </w:p>
        </w:tc>
      </w:tr>
      <w:tr w:rsidR="00F74116" w14:paraId="2822071D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8FB6F3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Kapitálové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A506F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C8918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41E3B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12 394,14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8A656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1 239,41</w:t>
            </w:r>
          </w:p>
        </w:tc>
      </w:tr>
      <w:tr w:rsidR="00F74116" w14:paraId="42C4651C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779D28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Přijaté transfery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4D528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13 611 149,39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24044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13 939 473,37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8374A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9 285 499,98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DC967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66,61</w:t>
            </w:r>
          </w:p>
        </w:tc>
      </w:tr>
      <w:tr w:rsidR="00F74116" w14:paraId="14973BCE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67C435" w14:textId="77777777" w:rsidR="00F74116" w:rsidRDefault="00F74116">
            <w:pP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Příjmy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EE159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20 113 963,80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7E0BD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20 439 061,67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55820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12 615 395,61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29693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61,72</w:t>
            </w:r>
          </w:p>
        </w:tc>
      </w:tr>
      <w:tr w:rsidR="00F74116" w14:paraId="25DCAC52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DDFC5F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Běžné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77445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17 766 111,84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457E7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18 414 641,36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D14C7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9 526 421,50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30AA8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51,73</w:t>
            </w:r>
          </w:p>
        </w:tc>
      </w:tr>
      <w:tr w:rsidR="00F74116" w14:paraId="352A3D21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CB7EBD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Kapitálové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9CDF0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3 548 832,76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E2949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 xml:space="preserve"> 3 987 833,62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298BA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bookmarkStart w:id="6" w:name="_Hlk79564599"/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867 162,29</w:t>
            </w:r>
            <w:bookmarkEnd w:id="6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A1526" w14:textId="77777777" w:rsidR="00F74116" w:rsidRDefault="00F74116">
            <w:pPr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21,75</w:t>
            </w:r>
          </w:p>
        </w:tc>
      </w:tr>
      <w:tr w:rsidR="00F74116" w14:paraId="14C59658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77EB2A" w14:textId="77777777" w:rsidR="00F74116" w:rsidRDefault="00F74116">
            <w:pP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Výdaje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56B60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21 314 944,60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4EF6F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22 402 474,98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23996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10 393 583,78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7F52E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46,39</w:t>
            </w:r>
          </w:p>
        </w:tc>
      </w:tr>
      <w:tr w:rsidR="00F74116" w14:paraId="49EC5EC0" w14:textId="77777777" w:rsidTr="001C0D4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255D06" w14:textId="77777777" w:rsidR="00F74116" w:rsidRDefault="00F74116">
            <w:pP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Saldo příjmů a výdajů (+/-)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EA2B8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-1 200 980,80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54A48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-1 963 413,31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F730B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+2 221 811,82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D1A08" w14:textId="77777777" w:rsidR="00F74116" w:rsidRDefault="00F7411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-113,16</w:t>
            </w:r>
          </w:p>
        </w:tc>
      </w:tr>
    </w:tbl>
    <w:p w14:paraId="0BFBCE49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Cs w:val="20"/>
          <w:lang w:eastAsia="cs-CZ"/>
        </w:rPr>
        <w:t xml:space="preserve">Daňové příjmy </w:t>
      </w:r>
      <w:r>
        <w:rPr>
          <w:rFonts w:ascii="Arial" w:eastAsia="Times New Roman" w:hAnsi="Arial" w:cs="Arial"/>
          <w:iCs/>
          <w:szCs w:val="20"/>
          <w:lang w:eastAsia="cs-CZ"/>
        </w:rPr>
        <w:t>jsou tvořeny především daňovými výnosy, jejichž podíly vyplývají ze zákona o rozpočtovém určení daní a ze správních činností (tzn. včetně správních poplatků a licencí).</w:t>
      </w:r>
      <w:r>
        <w:rPr>
          <w:rFonts w:ascii="Arial" w:eastAsia="Times New Roman" w:hAnsi="Arial" w:cs="Arial"/>
          <w:iCs/>
          <w:color w:val="FF000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K 30. 6. 2021 byly tyto příjmy naplněny na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51,92 %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v celkové výši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3 114 477,92 tis. Kč</w:t>
      </w:r>
      <w:r>
        <w:rPr>
          <w:rFonts w:ascii="Arial" w:eastAsia="Times New Roman" w:hAnsi="Arial" w:cs="Arial"/>
          <w:iCs/>
          <w:szCs w:val="20"/>
          <w:lang w:eastAsia="cs-CZ"/>
        </w:rPr>
        <w:t>. Téměř celý objem těchto daňových příjmů (98,96 %) je tvořen příjmy ze sdílených daní, jejichž složení je blíže specifikováno v tabulce č. 5.</w:t>
      </w:r>
    </w:p>
    <w:p w14:paraId="56257486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Cs w:val="20"/>
          <w:lang w:eastAsia="cs-CZ"/>
        </w:rPr>
        <w:t>Nedaňové příjmy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dosáhly objemu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 xml:space="preserve">203 023,57 tis. Kč </w:t>
      </w:r>
      <w:r>
        <w:rPr>
          <w:rFonts w:ascii="Arial" w:eastAsia="Times New Roman" w:hAnsi="Arial" w:cs="Arial"/>
          <w:iCs/>
          <w:szCs w:val="20"/>
          <w:lang w:eastAsia="cs-CZ"/>
        </w:rPr>
        <w:t>a k 30. 6. 2021 byly naplněny na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 40,63 %</w:t>
      </w:r>
      <w:r>
        <w:rPr>
          <w:rFonts w:ascii="Arial" w:eastAsia="Times New Roman" w:hAnsi="Arial" w:cs="Arial"/>
          <w:iCs/>
          <w:szCs w:val="20"/>
          <w:lang w:eastAsia="cs-CZ"/>
        </w:rPr>
        <w:t>.</w:t>
      </w:r>
    </w:p>
    <w:p w14:paraId="75F426BF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lastRenderedPageBreak/>
        <w:t>Jejich výše byla dána zejména:</w:t>
      </w:r>
    </w:p>
    <w:p w14:paraId="327F6712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splátkami půjčených prostředků od příspěvkových organizací 106 615,46 tis. Kč,</w:t>
      </w:r>
    </w:p>
    <w:p w14:paraId="5CA1F6C7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přijatými vratkami transferů a ostatními příjmy z finančního vypořádání 65 532,35 tis. Kč,</w:t>
      </w:r>
    </w:p>
    <w:p w14:paraId="4C8516F2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přijatými nekapitálovými příspěvky a náhradami 6 916,31 tis. Kč,</w:t>
      </w:r>
    </w:p>
    <w:p w14:paraId="28CE15E9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přijatými sankčními platbami 6 066,84 tis. Kč,</w:t>
      </w:r>
    </w:p>
    <w:p w14:paraId="052B56E0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splátkami půjčených prostředků od podnikajících subjektů 5 341,97 tis. Kč,</w:t>
      </w:r>
    </w:p>
    <w:p w14:paraId="6AB090EF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přijatými pojistnými náhradami 4 887,46 tis. Kč,</w:t>
      </w:r>
    </w:p>
    <w:p w14:paraId="12B51E8F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příjmy z pronájmu majetku 2 450,32 tis. Kč,</w:t>
      </w:r>
    </w:p>
    <w:p w14:paraId="4961FF7B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přijatými úroky 1 961,36 tis. Kč,</w:t>
      </w:r>
    </w:p>
    <w:p w14:paraId="4F92FFFA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odvody příspěvkových organizací 1 446,94 tis. Kč.</w:t>
      </w:r>
    </w:p>
    <w:p w14:paraId="5573020B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Cs w:val="20"/>
          <w:lang w:eastAsia="cs-CZ"/>
        </w:rPr>
        <w:t>Kapitálové příjmy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12 394,14 tis. Kč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tvořily příjmy z prodeje pozemků a ostatních nemovitostí včetně jejich částí a k 30. 6. 2021 byly naplněny na 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1 239,41 %</w:t>
      </w:r>
      <w:r>
        <w:rPr>
          <w:rFonts w:ascii="Arial" w:eastAsia="Times New Roman" w:hAnsi="Arial" w:cs="Arial"/>
          <w:bCs/>
          <w:iCs/>
          <w:szCs w:val="20"/>
          <w:lang w:eastAsia="cs-CZ"/>
        </w:rPr>
        <w:t>. Překročení rozpočtu bylo dáno zejména prodejem</w:t>
      </w:r>
      <w:r>
        <w:rPr>
          <w:rFonts w:ascii="Arial" w:eastAsia="Times New Roman" w:hAnsi="Arial" w:cs="Arial"/>
          <w:b/>
          <w:iCs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zCs w:val="20"/>
        </w:rPr>
        <w:t>učňovského areálu v k. ú. Dačice (12 100,00 tis. Kč), se kterým hospodařila Střední škola technická a obchodní Dačice. Tento mimořádný příjem byl rozpočtově ošetřen v následném rozpočtovém období a byl určen k převodu do Fondu rozvoje školství.</w:t>
      </w:r>
    </w:p>
    <w:p w14:paraId="3822533D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Cs w:val="20"/>
          <w:lang w:eastAsia="cs-CZ"/>
        </w:rPr>
        <w:t>Přijaté transfery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9 285 499,98 tis. Kč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byly k 30. 6. 2021 naplněny na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66,61 %</w:t>
      </w:r>
      <w:r>
        <w:rPr>
          <w:rFonts w:ascii="Arial" w:eastAsia="Times New Roman" w:hAnsi="Arial" w:cs="Arial"/>
          <w:iCs/>
          <w:szCs w:val="20"/>
          <w:lang w:eastAsia="cs-CZ"/>
        </w:rPr>
        <w:t>.</w:t>
      </w:r>
      <w:r>
        <w:rPr>
          <w:rFonts w:ascii="Arial" w:eastAsia="Times New Roman" w:hAnsi="Arial" w:cs="Arial"/>
          <w:iCs/>
          <w:color w:val="FF000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Rozhodující objem tvoří ostatní neinvestiční transfery ze státního rozpočtu ve výši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8 755 117,32 tis. Kč</w:t>
      </w:r>
      <w:r>
        <w:rPr>
          <w:rFonts w:ascii="Arial" w:eastAsia="Times New Roman" w:hAnsi="Arial" w:cs="Arial"/>
          <w:iCs/>
          <w:szCs w:val="20"/>
          <w:lang w:eastAsia="cs-CZ"/>
        </w:rPr>
        <w:t>, z nichž nejvyšší podíl představuje dotace MŠMT na přímé náklady na vzdělávání (6 863 317,37 tis. Kč). K dalším významným transferům, přijatým v 1. pololetí roku 2021, patří zejména neinvestiční dotace na sociální služby (1 344 099,16 tis. Kč).</w:t>
      </w:r>
    </w:p>
    <w:p w14:paraId="17E00C93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b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Souhrn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daňových, nedaňových a kapitálových příjmů tvoří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vlastní příjmy kraje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, které k 30. 6. 2021 představují objem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3 329 895,63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 xml:space="preserve"> tis. Kč</w:t>
      </w:r>
      <w:r>
        <w:rPr>
          <w:rFonts w:ascii="Arial" w:eastAsia="Times New Roman" w:hAnsi="Arial" w:cs="Arial"/>
          <w:iCs/>
          <w:szCs w:val="20"/>
          <w:lang w:eastAsia="cs-CZ"/>
        </w:rPr>
        <w:t>.</w:t>
      </w:r>
      <w:r>
        <w:rPr>
          <w:rFonts w:ascii="Arial" w:eastAsia="Times New Roman" w:hAnsi="Arial" w:cs="Arial"/>
          <w:iCs/>
          <w:color w:val="FF000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Výrazně převažující částí (92,56 %) těchto vlastních příjmů jsou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příjmy ze sdílených daní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(tabulka č. 5), které kraj inkasuje dle zákona č. 243/2000 Sb., o rozpočtovém určení daní, a které k uvedenému datu činily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3 082 186,44 tis. Kč</w:t>
      </w:r>
      <w:r>
        <w:rPr>
          <w:rFonts w:ascii="Arial" w:eastAsia="Times New Roman" w:hAnsi="Arial" w:cs="Arial"/>
          <w:bCs/>
          <w:iCs/>
          <w:szCs w:val="20"/>
          <w:lang w:eastAsia="cs-CZ"/>
        </w:rPr>
        <w:t>.</w:t>
      </w:r>
    </w:p>
    <w:p w14:paraId="094F2CD6" w14:textId="77777777" w:rsidR="00F74116" w:rsidRDefault="00F74116" w:rsidP="001C0D43">
      <w:pPr>
        <w:spacing w:before="120" w:after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 xml:space="preserve">Přehled o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příjmech z jednotlivých sdílených daní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za 1. pololetí roku 2021 je zřejmý z následující tabulky:</w:t>
      </w:r>
    </w:p>
    <w:p w14:paraId="3D77C185" w14:textId="77777777" w:rsidR="00F74116" w:rsidRDefault="00F74116" w:rsidP="001C0D43">
      <w:pPr>
        <w:spacing w:before="240" w:after="60"/>
        <w:jc w:val="both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Tabulka č. 5: Příjmy ze sdílených daní k 30. 6. 2021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1701"/>
        <w:gridCol w:w="992"/>
      </w:tblGrid>
      <w:tr w:rsidR="00F74116" w14:paraId="19A202B2" w14:textId="77777777" w:rsidTr="001C0D43">
        <w:trPr>
          <w:trHeight w:val="65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647D280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C634167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6D10282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Upravený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B59F2E5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Skutečnost</w:t>
            </w:r>
          </w:p>
          <w:p w14:paraId="64C80179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30. 6. 2021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7ED6754" w14:textId="77777777" w:rsidR="00F74116" w:rsidRDefault="00F741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% plnění UR</w:t>
            </w:r>
          </w:p>
        </w:tc>
      </w:tr>
      <w:tr w:rsidR="00F74116" w14:paraId="194915A1" w14:textId="77777777" w:rsidTr="001C0D43">
        <w:trPr>
          <w:trHeight w:val="340"/>
        </w:trPr>
        <w:tc>
          <w:tcPr>
            <w:tcW w:w="35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4E1FD5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DP fyzických osob placená plátci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81EED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1 530 000,00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716FB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1 530 000,00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96D74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511 704,72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8E5E9" w14:textId="77777777" w:rsidR="00F74116" w:rsidRDefault="00F74116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33,44</w:t>
            </w:r>
          </w:p>
        </w:tc>
      </w:tr>
      <w:tr w:rsidR="00F74116" w14:paraId="74E038F8" w14:textId="77777777" w:rsidTr="001C0D43">
        <w:trPr>
          <w:trHeight w:val="34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F903D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DP fyzických osob placená poplatníky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D4A53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94E03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2864E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18 553,31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7478A" w14:textId="77777777" w:rsidR="00F74116" w:rsidRDefault="00F74116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92,77</w:t>
            </w:r>
          </w:p>
        </w:tc>
      </w:tr>
      <w:tr w:rsidR="00F74116" w14:paraId="15754CB6" w14:textId="77777777" w:rsidTr="001C0D43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67901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DP fyzických osob vybíraná srážkou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CFF66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E8BF9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CB7D5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88 738,33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55832" w14:textId="77777777" w:rsidR="00F74116" w:rsidRDefault="00F74116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59,16</w:t>
            </w:r>
          </w:p>
        </w:tc>
      </w:tr>
      <w:tr w:rsidR="00F74116" w14:paraId="4A3CA18C" w14:textId="77777777" w:rsidTr="001C0D43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C8DBA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 xml:space="preserve">DP právnických osob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5E779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920 000,00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DCAB2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920 000,00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60247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758 474,55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2420D" w14:textId="77777777" w:rsidR="00F74116" w:rsidRDefault="00F74116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82,44</w:t>
            </w:r>
          </w:p>
        </w:tc>
      </w:tr>
      <w:tr w:rsidR="00F74116" w14:paraId="33DCA002" w14:textId="77777777" w:rsidTr="001C0D43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E53E0" w14:textId="77777777" w:rsidR="00F74116" w:rsidRDefault="00F74116">
            <w:pP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Daň z přidané hodnoty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46DF3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3 350 000,00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AD83F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3 350 000,00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6C1F9" w14:textId="77777777" w:rsidR="00F74116" w:rsidRDefault="00F74116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1 704 715,53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C6C8A" w14:textId="77777777" w:rsidR="00F74116" w:rsidRDefault="00F74116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cs-CZ"/>
              </w:rPr>
              <w:t>50,89</w:t>
            </w:r>
          </w:p>
        </w:tc>
      </w:tr>
      <w:tr w:rsidR="00F74116" w14:paraId="1111316D" w14:textId="77777777" w:rsidTr="001C0D43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33735" w14:textId="77777777" w:rsidR="00F74116" w:rsidRDefault="00F74116">
            <w:pP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Celkem příjmy ze sdílených daní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9B4DC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5 970 000,00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C3622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5 970 000,00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5AADE" w14:textId="77777777" w:rsidR="00F74116" w:rsidRDefault="00F7411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3 082 186,44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8CB6F" w14:textId="77777777" w:rsidR="00F74116" w:rsidRDefault="00F74116">
            <w:pPr>
              <w:ind w:firstLine="20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51,63</w:t>
            </w:r>
          </w:p>
        </w:tc>
      </w:tr>
    </w:tbl>
    <w:p w14:paraId="5BA1DCBE" w14:textId="77777777" w:rsidR="00F74116" w:rsidRDefault="00F74116" w:rsidP="001C0D43">
      <w:pPr>
        <w:spacing w:before="240" w:after="60"/>
        <w:jc w:val="both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 xml:space="preserve">Graf č. 2: Podíl jednotlivých sdílených daní k 30. 6. 2021 (v tis. Kč) </w:t>
      </w:r>
    </w:p>
    <w:p w14:paraId="6B9E3D10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b/>
          <w:bCs/>
          <w:iCs/>
          <w:szCs w:val="20"/>
          <w:lang w:eastAsia="cs-CZ"/>
        </w:rPr>
      </w:pPr>
      <w:r>
        <w:rPr>
          <w:noProof/>
        </w:rPr>
        <w:object w:dxaOrig="9660" w:dyaOrig="5235" w14:anchorId="51883757">
          <v:shape id="_x0000_i1029" type="#_x0000_t75" style="width:483pt;height:261.6pt;visibility:visible" o:ole="">
            <v:imagedata r:id="rId11" o:title=""/>
            <o:lock v:ext="edit" aspectratio="f"/>
          </v:shape>
          <o:OLEObject Type="Embed" ProgID="Excel.Chart.8" ShapeID="_x0000_i1029" DrawAspect="Content" ObjectID="_1831276364" r:id="rId12">
            <o:FieldCodes>\s</o:FieldCodes>
          </o:OLEObject>
        </w:object>
      </w:r>
    </w:p>
    <w:p w14:paraId="30997910" w14:textId="77777777" w:rsidR="00F74116" w:rsidRDefault="00F74116" w:rsidP="001C0D43">
      <w:pPr>
        <w:spacing w:before="24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Běžné výdaje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9 526 421,50</w:t>
      </w:r>
      <w:r>
        <w:rPr>
          <w:rFonts w:ascii="Arial" w:eastAsia="Times New Roman" w:hAnsi="Arial" w:cs="Arial"/>
          <w:i/>
          <w:iCs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tis. Kč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byly k 30. 6. 2021 čerpány na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51,</w:t>
      </w:r>
      <w:r>
        <w:rPr>
          <w:rFonts w:ascii="Arial" w:eastAsia="Times New Roman" w:hAnsi="Arial" w:cs="Arial"/>
          <w:b/>
          <w:iCs/>
          <w:szCs w:val="20"/>
          <w:lang w:eastAsia="cs-CZ"/>
        </w:rPr>
        <w:t xml:space="preserve">73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 xml:space="preserve">% </w:t>
      </w:r>
      <w:r>
        <w:rPr>
          <w:rFonts w:ascii="Arial" w:eastAsia="Times New Roman" w:hAnsi="Arial" w:cs="Arial"/>
          <w:bCs/>
          <w:iCs/>
          <w:szCs w:val="20"/>
          <w:lang w:eastAsia="cs-CZ"/>
        </w:rPr>
        <w:t>upraveného rozpočtu.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Nejvýznamnějšími výdajovými položkami byly:</w:t>
      </w:r>
    </w:p>
    <w:p w14:paraId="0AC6242C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zřízeným příspěvkovým organizacím kraje 3 740 256,96 tis. Kč,</w:t>
      </w:r>
    </w:p>
    <w:p w14:paraId="6E6658CA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obcím a jejich zřizovaným organizacím 3 725 403,58 tis. Kč,</w:t>
      </w:r>
    </w:p>
    <w:p w14:paraId="67692F0C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 xml:space="preserve">dopravní obslužnost 860 881,09 tis. Kč, </w:t>
      </w:r>
    </w:p>
    <w:p w14:paraId="493ECE54" w14:textId="77777777" w:rsidR="00F74116" w:rsidRDefault="00F74116" w:rsidP="00F74116">
      <w:pPr>
        <w:numPr>
          <w:ilvl w:val="0"/>
          <w:numId w:val="12"/>
        </w:numPr>
        <w:spacing w:line="240" w:lineRule="auto"/>
        <w:ind w:left="709" w:hanging="289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soukromoprávním subjektům (právnické osoby, spolky, obecně prospěšné společnosti, neziskové organizace apod.) 842 475,58 tis. Kč,</w:t>
      </w:r>
    </w:p>
    <w:p w14:paraId="097E46BC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platy, odměny a související odvody 171 954,70 tis. Kč,</w:t>
      </w:r>
    </w:p>
    <w:p w14:paraId="4C6C4215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nákup služeb 91 810,69 tis. Kč,</w:t>
      </w:r>
    </w:p>
    <w:p w14:paraId="70300AC6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veřejným rozpočtům (platba daní, poplatků, finanční vypořádání) 37 413,62 tis. Kč,</w:t>
      </w:r>
    </w:p>
    <w:p w14:paraId="7E1A4463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krajům (smlouvy o spolupráci) 14 528,77 ti. Kč,</w:t>
      </w:r>
    </w:p>
    <w:p w14:paraId="50BE90E9" w14:textId="77777777" w:rsidR="00F74116" w:rsidRDefault="00F74116" w:rsidP="00F74116">
      <w:pPr>
        <w:numPr>
          <w:ilvl w:val="0"/>
          <w:numId w:val="12"/>
        </w:numPr>
        <w:spacing w:line="240" w:lineRule="auto"/>
        <w:ind w:left="709" w:right="27" w:hanging="289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poskytnuté náhrady (náhrady škod způsobených zvláště chráněnými živočichy) 13 128,01 tis. Kč,</w:t>
      </w:r>
    </w:p>
    <w:p w14:paraId="39CA19BB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nákup materiálu 10 180,45 tis. Kč,</w:t>
      </w:r>
    </w:p>
    <w:p w14:paraId="1949E1AB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dary a transfery obyvatelstvu 6 655,61 tis. Kč,</w:t>
      </w:r>
    </w:p>
    <w:p w14:paraId="42632294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nákup vody, paliv a energie 4 597,15 tis. Kč,</w:t>
      </w:r>
    </w:p>
    <w:p w14:paraId="70327037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opravy a udržování 3 821,27 tis. Kč.</w:t>
      </w:r>
    </w:p>
    <w:p w14:paraId="5A07CFC3" w14:textId="77777777" w:rsidR="00F74116" w:rsidRDefault="00F74116" w:rsidP="001C0D43">
      <w:pPr>
        <w:ind w:left="777"/>
        <w:jc w:val="both"/>
        <w:rPr>
          <w:rFonts w:ascii="Arial" w:eastAsia="Times New Roman" w:hAnsi="Arial" w:cs="Arial"/>
          <w:iCs/>
          <w:szCs w:val="20"/>
          <w:lang w:eastAsia="cs-CZ"/>
        </w:rPr>
      </w:pPr>
    </w:p>
    <w:p w14:paraId="78BA4753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>Kapitálové výdaje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867 162,29 tis. Kč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byly k 30. 6. 2021 čerpány na 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 xml:space="preserve">21,75 % </w:t>
      </w:r>
      <w:r>
        <w:rPr>
          <w:rFonts w:ascii="Arial" w:eastAsia="Times New Roman" w:hAnsi="Arial" w:cs="Arial"/>
          <w:bCs/>
          <w:iCs/>
          <w:szCs w:val="20"/>
          <w:lang w:eastAsia="cs-CZ"/>
        </w:rPr>
        <w:t>upraveného rozpočtu</w:t>
      </w:r>
      <w:r>
        <w:rPr>
          <w:rFonts w:ascii="Arial" w:eastAsia="Times New Roman" w:hAnsi="Arial" w:cs="Arial"/>
          <w:b/>
          <w:bCs/>
          <w:iCs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Cs/>
          <w:iCs/>
          <w:szCs w:val="20"/>
          <w:lang w:eastAsia="cs-CZ"/>
        </w:rPr>
        <w:t>přičemž se jednalo o následující výdaje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1D4F330A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zřízeným příspěvkovým organizacím 245 970,88 tis. Kč,</w:t>
      </w:r>
    </w:p>
    <w:p w14:paraId="0265D217" w14:textId="77777777" w:rsidR="00F74116" w:rsidRDefault="00F74116" w:rsidP="00F74116">
      <w:pPr>
        <w:numPr>
          <w:ilvl w:val="0"/>
          <w:numId w:val="12"/>
        </w:numPr>
        <w:spacing w:line="240" w:lineRule="auto"/>
        <w:ind w:left="709" w:hanging="289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pořízení dlouhodobého hmotného majetku 221 403,92 tis. Kč,</w:t>
      </w:r>
    </w:p>
    <w:p w14:paraId="17396C76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nákup akcií 174 800,00 tis. Kč,</w:t>
      </w:r>
    </w:p>
    <w:p w14:paraId="1102B5E0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nepodnikajícím fyzickým osobám (Nová zelená úsporám) 142 927,76 tis. Kč,</w:t>
      </w:r>
    </w:p>
    <w:p w14:paraId="30081609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veřejným rozpočtům územní úrovně 51 511,94 tis. Kč,</w:t>
      </w:r>
    </w:p>
    <w:p w14:paraId="414231EF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půjčené prostředky 13 473,65 tis. Kč,</w:t>
      </w:r>
    </w:p>
    <w:p w14:paraId="23826F6C" w14:textId="77777777" w:rsidR="00F74116" w:rsidRDefault="00F74116" w:rsidP="00F74116">
      <w:pPr>
        <w:numPr>
          <w:ilvl w:val="0"/>
          <w:numId w:val="12"/>
        </w:numPr>
        <w:spacing w:line="240" w:lineRule="auto"/>
        <w:ind w:left="777" w:hanging="357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transfery soukromoprávním subjektům (fyzické a právnické osoby, spolky…) 10 068,13 tis. Kč,</w:t>
      </w:r>
    </w:p>
    <w:p w14:paraId="5DF954A7" w14:textId="77777777" w:rsidR="00F74116" w:rsidRDefault="00F74116" w:rsidP="00F74116">
      <w:pPr>
        <w:numPr>
          <w:ilvl w:val="0"/>
          <w:numId w:val="12"/>
        </w:numPr>
        <w:spacing w:line="240" w:lineRule="auto"/>
        <w:ind w:left="709" w:hanging="289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iCs/>
          <w:szCs w:val="20"/>
          <w:lang w:eastAsia="cs-CZ"/>
        </w:rPr>
        <w:t>nákup programového vybavení a ostatního dlouhodobého nehmotného majetku 6 195,61 tis. Kč.</w:t>
      </w:r>
    </w:p>
    <w:p w14:paraId="41318361" w14:textId="77777777" w:rsidR="00F74116" w:rsidRDefault="00F74116" w:rsidP="001C0D43">
      <w:pPr>
        <w:spacing w:before="120"/>
        <w:jc w:val="both"/>
        <w:rPr>
          <w:rFonts w:ascii="Arial" w:eastAsia="Times New Roman" w:hAnsi="Arial" w:cs="Arial"/>
          <w:iCs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Cs w:val="20"/>
          <w:lang w:eastAsia="cs-CZ"/>
        </w:rPr>
        <w:t>Nedočerpané kapitálové výdaje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v celkovém objemu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 xml:space="preserve">3 120 671,33 tis. Kč 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představují </w:t>
      </w:r>
      <w:r>
        <w:rPr>
          <w:rFonts w:ascii="Arial" w:eastAsia="Times New Roman" w:hAnsi="Arial" w:cs="Arial"/>
          <w:b/>
          <w:iCs/>
          <w:szCs w:val="20"/>
          <w:lang w:eastAsia="cs-CZ"/>
        </w:rPr>
        <w:t>78,25 %</w:t>
      </w:r>
      <w:r>
        <w:rPr>
          <w:rFonts w:ascii="Arial" w:eastAsia="Times New Roman" w:hAnsi="Arial" w:cs="Arial"/>
          <w:iCs/>
          <w:szCs w:val="20"/>
          <w:lang w:eastAsia="cs-CZ"/>
        </w:rPr>
        <w:t xml:space="preserve"> upraveného rozpočtu. Jak již bylo uvedeno výše, jde pouze o časovou disproporci. Příčinou opožděného plnění kapitálových výdajů je v letošním roce především zpoždění realizace projektů spolufinancovaných z EU </w:t>
      </w:r>
      <w:r>
        <w:rPr>
          <w:rFonts w:ascii="Arial" w:eastAsia="Times New Roman" w:hAnsi="Arial" w:cs="Arial"/>
          <w:iCs/>
          <w:szCs w:val="20"/>
          <w:lang w:eastAsia="cs-CZ"/>
        </w:rPr>
        <w:lastRenderedPageBreak/>
        <w:t>(IROP a IPRÚ) a dotačního titulu SFDI a jejich fakturace zejména ve druhém pololetí, kdy lze očekávat jejich postupný náběh. Již tradičně půjde především o výdaje související s rekonstrukcí a modernizací silnic II. a III. třídy. V případě kapitálových výdajů z vlastních zdrojů kraje půjde dále o investiční transfery zřízeným příspěvkovým organizacím (zejména oblast dopravy, školství a sociální péče) a transfery krajským nemocnicím. Patří sem také investiční příspěvky obcím, poskytované zejména v rámci dotačních programů kraje, kdy čerpání těchto příspěvků závisí na předání příslušných podkladů k vyúčtování.</w:t>
      </w:r>
    </w:p>
    <w:p w14:paraId="2389EB9E" w14:textId="77777777" w:rsidR="00F74116" w:rsidRDefault="00F74116" w:rsidP="00D912ED">
      <w:pPr>
        <w:pStyle w:val="KUJKnormal"/>
      </w:pPr>
    </w:p>
    <w:p w14:paraId="7D20DBE5" w14:textId="77777777" w:rsidR="00F74116" w:rsidRDefault="00F74116" w:rsidP="00D912ED">
      <w:pPr>
        <w:pStyle w:val="KUJKnormal"/>
      </w:pPr>
    </w:p>
    <w:p w14:paraId="70A0D5AD" w14:textId="77777777" w:rsidR="00F74116" w:rsidRDefault="00F74116" w:rsidP="00D912ED">
      <w:pPr>
        <w:pStyle w:val="KUJKnormal"/>
      </w:pPr>
      <w:r>
        <w:t>Finanční nároky a krytí: nejsou</w:t>
      </w:r>
    </w:p>
    <w:p w14:paraId="653246DB" w14:textId="77777777" w:rsidR="00F74116" w:rsidRDefault="00F74116" w:rsidP="00D912ED">
      <w:pPr>
        <w:pStyle w:val="KUJKnormal"/>
      </w:pPr>
    </w:p>
    <w:p w14:paraId="54D526E2" w14:textId="77777777" w:rsidR="00F74116" w:rsidRDefault="00F74116" w:rsidP="00D912ED">
      <w:pPr>
        <w:pStyle w:val="KUJKnormal"/>
      </w:pPr>
    </w:p>
    <w:p w14:paraId="10419873" w14:textId="77777777" w:rsidR="00F74116" w:rsidRDefault="00F74116" w:rsidP="00D912ED">
      <w:pPr>
        <w:pStyle w:val="KUJKnormal"/>
      </w:pPr>
      <w:r>
        <w:t>Vyjádření správce rozpočtu: předkladatel je centrálním správcem rozpočtu</w:t>
      </w:r>
    </w:p>
    <w:p w14:paraId="3F824048" w14:textId="77777777" w:rsidR="00F74116" w:rsidRDefault="00F74116" w:rsidP="00D912ED">
      <w:pPr>
        <w:pStyle w:val="KUJKnormal"/>
      </w:pPr>
    </w:p>
    <w:p w14:paraId="02E8CF18" w14:textId="77777777" w:rsidR="00F74116" w:rsidRDefault="00F74116" w:rsidP="00D912ED">
      <w:pPr>
        <w:pStyle w:val="KUJKnormal"/>
      </w:pPr>
    </w:p>
    <w:p w14:paraId="385D8364" w14:textId="77777777" w:rsidR="00F74116" w:rsidRDefault="00F74116" w:rsidP="00D912ED">
      <w:pPr>
        <w:pStyle w:val="KUJKnormal"/>
      </w:pPr>
      <w:r>
        <w:t>Návrh projednán (stanoviska): nevyžádána</w:t>
      </w:r>
    </w:p>
    <w:p w14:paraId="76866B98" w14:textId="77777777" w:rsidR="00F74116" w:rsidRDefault="00F74116" w:rsidP="00D912ED">
      <w:pPr>
        <w:pStyle w:val="KUJKnormal"/>
      </w:pPr>
    </w:p>
    <w:p w14:paraId="1DDA9604" w14:textId="77777777" w:rsidR="00F74116" w:rsidRDefault="00F74116" w:rsidP="00D912ED">
      <w:pPr>
        <w:pStyle w:val="KUJKnormal"/>
      </w:pPr>
    </w:p>
    <w:p w14:paraId="65B9CB3A" w14:textId="77777777" w:rsidR="00F74116" w:rsidRPr="007939A8" w:rsidRDefault="00F74116" w:rsidP="00D912ED">
      <w:pPr>
        <w:pStyle w:val="KUJKtucny"/>
      </w:pPr>
      <w:r w:rsidRPr="007939A8">
        <w:t>PŘÍLOHY:</w:t>
      </w:r>
    </w:p>
    <w:p w14:paraId="23B65D9E" w14:textId="77777777" w:rsidR="00F74116" w:rsidRPr="00B52AA9" w:rsidRDefault="00F74116" w:rsidP="00F74116">
      <w:pPr>
        <w:pStyle w:val="KUJKcislovany"/>
        <w:spacing w:line="240" w:lineRule="auto"/>
      </w:pPr>
      <w:r>
        <w:t>Bilance a přehled vybraných ukazatelů za 1. pololetí 2021</w:t>
      </w:r>
      <w:r w:rsidRPr="0081756D">
        <w:t xml:space="preserve"> (</w:t>
      </w:r>
      <w:r>
        <w:t>202106_plneni_rozpoctu.pdf</w:t>
      </w:r>
      <w:r w:rsidRPr="0081756D">
        <w:t>)</w:t>
      </w:r>
    </w:p>
    <w:p w14:paraId="26323F4E" w14:textId="77777777" w:rsidR="00F74116" w:rsidRPr="00B52AA9" w:rsidRDefault="00F74116" w:rsidP="00F74116">
      <w:pPr>
        <w:pStyle w:val="KUJKcislovany"/>
        <w:spacing w:line="240" w:lineRule="auto"/>
      </w:pPr>
      <w:r>
        <w:t>Výkaz pro hodnocení plnění rozpočtu územních samosprávných celků, dobrovolných svazků obcí a regionálních rad (Výkaz FIN 2-12M) za období 6/2021</w:t>
      </w:r>
      <w:r w:rsidRPr="0081756D">
        <w:t xml:space="preserve"> (</w:t>
      </w:r>
      <w:r>
        <w:t>FIN 2_12M.pdf</w:t>
      </w:r>
      <w:r w:rsidRPr="0081756D">
        <w:t>)</w:t>
      </w:r>
      <w:r>
        <w:t xml:space="preserve"> – příloha je k dispozici, vzhledem k rozsahu, pouze v elektronické podobě</w:t>
      </w:r>
    </w:p>
    <w:p w14:paraId="70B3630F" w14:textId="77777777" w:rsidR="00F74116" w:rsidRPr="00B52AA9" w:rsidRDefault="00F74116" w:rsidP="00444B6A">
      <w:pPr>
        <w:pStyle w:val="KUJKcislovany"/>
        <w:numPr>
          <w:ilvl w:val="0"/>
          <w:numId w:val="0"/>
        </w:numPr>
        <w:ind w:left="284" w:hanging="284"/>
      </w:pPr>
    </w:p>
    <w:p w14:paraId="2CEC1A7B" w14:textId="77777777" w:rsidR="00F74116" w:rsidRDefault="00F74116" w:rsidP="00D912ED">
      <w:pPr>
        <w:pStyle w:val="KUJKnormal"/>
      </w:pPr>
    </w:p>
    <w:p w14:paraId="78C0A70A" w14:textId="77777777" w:rsidR="00F74116" w:rsidRPr="007C1EE7" w:rsidRDefault="00F74116" w:rsidP="00D912ED">
      <w:pPr>
        <w:pStyle w:val="KUJKtucny"/>
      </w:pPr>
      <w:r w:rsidRPr="007C1EE7">
        <w:t>Zodpovídá:</w:t>
      </w:r>
      <w:r>
        <w:t xml:space="preserve"> </w:t>
      </w:r>
      <w:r w:rsidRPr="006B197D">
        <w:rPr>
          <w:b w:val="0"/>
          <w:bCs/>
        </w:rPr>
        <w:t>vedoucí OEKO - Ing. Ladislav Staněk</w:t>
      </w:r>
    </w:p>
    <w:p w14:paraId="11D519FB" w14:textId="77777777" w:rsidR="00F74116" w:rsidRDefault="00F74116" w:rsidP="00D912ED">
      <w:pPr>
        <w:pStyle w:val="KUJKnormal"/>
      </w:pPr>
    </w:p>
    <w:p w14:paraId="375262AA" w14:textId="77777777" w:rsidR="00F74116" w:rsidRDefault="00F74116" w:rsidP="00D912ED">
      <w:pPr>
        <w:pStyle w:val="KUJKnormal"/>
      </w:pPr>
      <w:r>
        <w:t>Termín kontroly: 30. 9. 2021</w:t>
      </w:r>
    </w:p>
    <w:p w14:paraId="6E9FDB3D" w14:textId="77777777" w:rsidR="00F74116" w:rsidRDefault="00F74116" w:rsidP="00D912ED">
      <w:pPr>
        <w:pStyle w:val="KUJKnormal"/>
      </w:pPr>
      <w:r>
        <w:t>Termín splnění: 30. 9. 2021</w:t>
      </w:r>
    </w:p>
    <w:p w14:paraId="05AA97F1" w14:textId="77777777" w:rsidR="00F74116" w:rsidRDefault="00F7411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13"/>
      <w:headerReference w:type="first" r:id="rId14"/>
      <w:footerReference w:type="first" r:id="rId15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CCF3" w14:textId="77777777" w:rsidR="00BD6291" w:rsidRDefault="00BD6291" w:rsidP="002C5539">
      <w:r>
        <w:separator/>
      </w:r>
    </w:p>
  </w:endnote>
  <w:endnote w:type="continuationSeparator" w:id="0">
    <w:p w14:paraId="1452993D" w14:textId="77777777" w:rsidR="00BD6291" w:rsidRDefault="00BD629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D629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D629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2DF7" w14:textId="77777777" w:rsidR="00BD6291" w:rsidRDefault="00BD6291" w:rsidP="002C5539">
      <w:r>
        <w:separator/>
      </w:r>
    </w:p>
  </w:footnote>
  <w:footnote w:type="continuationSeparator" w:id="0">
    <w:p w14:paraId="3E6A6DA0" w14:textId="77777777" w:rsidR="00BD6291" w:rsidRDefault="00BD629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9A93" w14:textId="77777777" w:rsidR="00F74116" w:rsidRDefault="00F74116" w:rsidP="00973BFF">
    <w:r>
      <w:rPr>
        <w:noProof/>
      </w:rPr>
      <w:pict w14:anchorId="127A617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92FDD09" w14:textId="77777777" w:rsidR="00F74116" w:rsidRPr="00D405BE" w:rsidRDefault="00F7411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3F7990" w14:textId="77777777" w:rsidR="00F74116" w:rsidRPr="00D405BE" w:rsidRDefault="00F7411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E468C4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7FCEDE">
        <v:rect id="_x0000_i1026" style="width:481.9pt;height:2pt" o:hralign="center" o:hrstd="t" o:hrnoshade="t" o:hr="t" fillcolor="black" stroked="f"/>
      </w:pict>
    </w:r>
  </w:p>
  <w:p w14:paraId="76F23595" w14:textId="77777777" w:rsidR="00F74116" w:rsidRPr="00F74116" w:rsidRDefault="00F74116" w:rsidP="00F741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4D3839"/>
    <w:multiLevelType w:val="hybridMultilevel"/>
    <w:tmpl w:val="ADDC7E9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CA9"/>
    <w:multiLevelType w:val="hybridMultilevel"/>
    <w:tmpl w:val="3274E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940288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91378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91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5B7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116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F74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j-jihocesky.cz/index.php/jihocesky-kraj/hospodareni-kraj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Chart1.xls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Microsoft_Excel_Chart.xls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2168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2026-01-30T10:06:00Z</dcterms:created>
  <dcterms:modified xsi:type="dcterms:W3CDTF">2026-01-30T10:06:00Z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5734038</vt:i4>
  </property>
  <property fmtid="{D5CDD505-2E9C-101B-9397-08002B2CF9AE}" pid="5" name="UlozitJako">
    <vt:lpwstr>C:\Users\mrazkova\AppData\Local\Temp\iU83538456\Zastupitelstvo\2021-09-09\Navrhy\302-ZK-21.</vt:lpwstr>
  </property>
  <property fmtid="{D5CDD505-2E9C-101B-9397-08002B2CF9AE}" pid="6" name="Zpracovat">
    <vt:bool>false</vt:bool>
  </property>
</Properties>
</file>