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26CE" w14:paraId="719EA593" w14:textId="77777777" w:rsidTr="00D77DEC">
        <w:trPr>
          <w:trHeight w:hRule="exact" w:val="397"/>
        </w:trPr>
        <w:tc>
          <w:tcPr>
            <w:tcW w:w="2376" w:type="dxa"/>
            <w:hideMark/>
          </w:tcPr>
          <w:p w14:paraId="74BC93D2" w14:textId="77777777" w:rsidR="001726CE" w:rsidRDefault="001726CE" w:rsidP="002643B2">
            <w:pPr>
              <w:pStyle w:val="KUJKtucny"/>
            </w:pPr>
            <w:r>
              <w:t>Datum jednání:</w:t>
            </w:r>
          </w:p>
        </w:tc>
        <w:tc>
          <w:tcPr>
            <w:tcW w:w="3828" w:type="dxa"/>
            <w:hideMark/>
          </w:tcPr>
          <w:p w14:paraId="017FDFDF" w14:textId="77777777" w:rsidR="001726CE" w:rsidRDefault="001726CE" w:rsidP="002643B2">
            <w:pPr>
              <w:pStyle w:val="KUJKnormal"/>
            </w:pPr>
            <w:r>
              <w:t>09. 09. 2021</w:t>
            </w:r>
          </w:p>
        </w:tc>
        <w:tc>
          <w:tcPr>
            <w:tcW w:w="2126" w:type="dxa"/>
            <w:hideMark/>
          </w:tcPr>
          <w:p w14:paraId="21BC15CD" w14:textId="77777777" w:rsidR="001726CE" w:rsidRDefault="001726CE" w:rsidP="002643B2">
            <w:pPr>
              <w:pStyle w:val="KUJKtucny"/>
            </w:pPr>
            <w:r>
              <w:t>Bod programu:</w:t>
            </w:r>
          </w:p>
        </w:tc>
        <w:tc>
          <w:tcPr>
            <w:tcW w:w="850" w:type="dxa"/>
          </w:tcPr>
          <w:p w14:paraId="479D1E42" w14:textId="77777777" w:rsidR="001726CE" w:rsidRDefault="001726CE" w:rsidP="002643B2">
            <w:pPr>
              <w:pStyle w:val="KUJKnormal"/>
            </w:pPr>
          </w:p>
        </w:tc>
      </w:tr>
      <w:tr w:rsidR="001726CE" w14:paraId="14294878" w14:textId="77777777" w:rsidTr="00D77DEC">
        <w:trPr>
          <w:cantSplit/>
          <w:trHeight w:hRule="exact" w:val="397"/>
        </w:trPr>
        <w:tc>
          <w:tcPr>
            <w:tcW w:w="2376" w:type="dxa"/>
            <w:hideMark/>
          </w:tcPr>
          <w:p w14:paraId="6E42E798" w14:textId="77777777" w:rsidR="001726CE" w:rsidRDefault="001726CE" w:rsidP="002643B2">
            <w:pPr>
              <w:pStyle w:val="KUJKtucny"/>
            </w:pPr>
            <w:r>
              <w:t>Číslo návrhu:</w:t>
            </w:r>
          </w:p>
        </w:tc>
        <w:tc>
          <w:tcPr>
            <w:tcW w:w="6804" w:type="dxa"/>
            <w:gridSpan w:val="3"/>
            <w:hideMark/>
          </w:tcPr>
          <w:p w14:paraId="17BBA157" w14:textId="77777777" w:rsidR="001726CE" w:rsidRDefault="001726CE" w:rsidP="002643B2">
            <w:pPr>
              <w:pStyle w:val="KUJKnormal"/>
            </w:pPr>
            <w:r>
              <w:t>288/ZK/21</w:t>
            </w:r>
          </w:p>
        </w:tc>
      </w:tr>
      <w:tr w:rsidR="001726CE" w14:paraId="6A26547B" w14:textId="77777777" w:rsidTr="00D77DEC">
        <w:trPr>
          <w:trHeight w:val="397"/>
        </w:trPr>
        <w:tc>
          <w:tcPr>
            <w:tcW w:w="2376" w:type="dxa"/>
          </w:tcPr>
          <w:p w14:paraId="0ECDF079" w14:textId="77777777" w:rsidR="001726CE" w:rsidRDefault="001726CE" w:rsidP="002643B2"/>
          <w:p w14:paraId="0D8F135F" w14:textId="77777777" w:rsidR="001726CE" w:rsidRDefault="001726CE" w:rsidP="002643B2">
            <w:pPr>
              <w:pStyle w:val="KUJKtucny"/>
            </w:pPr>
            <w:r>
              <w:t>Název bodu:</w:t>
            </w:r>
          </w:p>
        </w:tc>
        <w:tc>
          <w:tcPr>
            <w:tcW w:w="6804" w:type="dxa"/>
            <w:gridSpan w:val="3"/>
          </w:tcPr>
          <w:p w14:paraId="44E6ECF1" w14:textId="77777777" w:rsidR="001726CE" w:rsidRDefault="001726CE" w:rsidP="002643B2"/>
          <w:p w14:paraId="6A1CB3B0" w14:textId="77777777" w:rsidR="001726CE" w:rsidRDefault="001726CE" w:rsidP="002643B2">
            <w:pPr>
              <w:pStyle w:val="KUJKtucny"/>
              <w:rPr>
                <w:sz w:val="22"/>
                <w:szCs w:val="22"/>
              </w:rPr>
            </w:pPr>
            <w:r>
              <w:rPr>
                <w:sz w:val="22"/>
                <w:szCs w:val="22"/>
              </w:rPr>
              <w:t>Rozpočet školství - třetí úprava rozpisu rozpočtu</w:t>
            </w:r>
          </w:p>
        </w:tc>
      </w:tr>
    </w:tbl>
    <w:p w14:paraId="5B83E1F3" w14:textId="77777777" w:rsidR="001726CE" w:rsidRDefault="001726CE" w:rsidP="00D77DEC">
      <w:pPr>
        <w:pStyle w:val="KUJKnormal"/>
        <w:rPr>
          <w:b/>
          <w:bCs/>
        </w:rPr>
      </w:pPr>
      <w:r>
        <w:rPr>
          <w:b/>
          <w:bCs/>
        </w:rPr>
        <w:pict w14:anchorId="54E67B3F">
          <v:rect id="_x0000_i1029" style="width:453.6pt;height:1.5pt" o:hralign="center" o:hrstd="t" o:hrnoshade="t" o:hr="t" fillcolor="black" stroked="f"/>
        </w:pict>
      </w:r>
    </w:p>
    <w:p w14:paraId="6D801D5D" w14:textId="77777777" w:rsidR="001726CE" w:rsidRDefault="001726CE" w:rsidP="00D77DEC">
      <w:pPr>
        <w:pStyle w:val="KUJKnormal"/>
      </w:pPr>
    </w:p>
    <w:p w14:paraId="66F35CD0" w14:textId="77777777" w:rsidR="001726CE" w:rsidRDefault="001726CE" w:rsidP="00D77DE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726CE" w14:paraId="3FF7DDB6" w14:textId="77777777" w:rsidTr="002643B2">
        <w:trPr>
          <w:trHeight w:val="397"/>
        </w:trPr>
        <w:tc>
          <w:tcPr>
            <w:tcW w:w="2350" w:type="dxa"/>
            <w:hideMark/>
          </w:tcPr>
          <w:p w14:paraId="213C8449" w14:textId="77777777" w:rsidR="001726CE" w:rsidRDefault="001726CE" w:rsidP="002643B2">
            <w:pPr>
              <w:pStyle w:val="KUJKtucny"/>
            </w:pPr>
            <w:r>
              <w:t>Předkladatel:</w:t>
            </w:r>
          </w:p>
        </w:tc>
        <w:tc>
          <w:tcPr>
            <w:tcW w:w="6862" w:type="dxa"/>
          </w:tcPr>
          <w:p w14:paraId="29ABAD80" w14:textId="77777777" w:rsidR="001726CE" w:rsidRDefault="001726CE" w:rsidP="002643B2">
            <w:pPr>
              <w:pStyle w:val="KUJKnormal"/>
            </w:pPr>
            <w:r>
              <w:t>Mgr. Pavel Klíma</w:t>
            </w:r>
          </w:p>
          <w:p w14:paraId="3A2BDE31" w14:textId="77777777" w:rsidR="001726CE" w:rsidRDefault="001726CE" w:rsidP="002643B2"/>
        </w:tc>
      </w:tr>
      <w:tr w:rsidR="001726CE" w14:paraId="50D27C7A" w14:textId="77777777" w:rsidTr="002643B2">
        <w:trPr>
          <w:trHeight w:val="397"/>
        </w:trPr>
        <w:tc>
          <w:tcPr>
            <w:tcW w:w="2350" w:type="dxa"/>
          </w:tcPr>
          <w:p w14:paraId="230155C7" w14:textId="77777777" w:rsidR="001726CE" w:rsidRDefault="001726CE" w:rsidP="002643B2">
            <w:pPr>
              <w:pStyle w:val="KUJKtucny"/>
            </w:pPr>
            <w:r>
              <w:t>Zpracoval:</w:t>
            </w:r>
          </w:p>
          <w:p w14:paraId="054471C9" w14:textId="77777777" w:rsidR="001726CE" w:rsidRDefault="001726CE" w:rsidP="002643B2"/>
        </w:tc>
        <w:tc>
          <w:tcPr>
            <w:tcW w:w="6862" w:type="dxa"/>
            <w:hideMark/>
          </w:tcPr>
          <w:p w14:paraId="2DCDF23B" w14:textId="77777777" w:rsidR="001726CE" w:rsidRDefault="001726CE" w:rsidP="002643B2">
            <w:pPr>
              <w:pStyle w:val="KUJKnormal"/>
            </w:pPr>
            <w:r>
              <w:t>OSMT</w:t>
            </w:r>
          </w:p>
        </w:tc>
      </w:tr>
      <w:tr w:rsidR="001726CE" w14:paraId="50447843" w14:textId="77777777" w:rsidTr="002643B2">
        <w:trPr>
          <w:trHeight w:val="397"/>
        </w:trPr>
        <w:tc>
          <w:tcPr>
            <w:tcW w:w="2350" w:type="dxa"/>
          </w:tcPr>
          <w:p w14:paraId="35FE3341" w14:textId="77777777" w:rsidR="001726CE" w:rsidRPr="009715F9" w:rsidRDefault="001726CE" w:rsidP="002643B2">
            <w:pPr>
              <w:pStyle w:val="KUJKnormal"/>
              <w:rPr>
                <w:b/>
              </w:rPr>
            </w:pPr>
            <w:r w:rsidRPr="009715F9">
              <w:rPr>
                <w:b/>
              </w:rPr>
              <w:t>Vedoucí odboru:</w:t>
            </w:r>
          </w:p>
          <w:p w14:paraId="740123C5" w14:textId="77777777" w:rsidR="001726CE" w:rsidRDefault="001726CE" w:rsidP="002643B2"/>
        </w:tc>
        <w:tc>
          <w:tcPr>
            <w:tcW w:w="6862" w:type="dxa"/>
            <w:hideMark/>
          </w:tcPr>
          <w:p w14:paraId="6AC630A1" w14:textId="77777777" w:rsidR="001726CE" w:rsidRDefault="001726CE" w:rsidP="002643B2">
            <w:pPr>
              <w:pStyle w:val="KUJKnormal"/>
            </w:pPr>
            <w:r>
              <w:t>Ing. Hana Šímová</w:t>
            </w:r>
          </w:p>
        </w:tc>
      </w:tr>
    </w:tbl>
    <w:p w14:paraId="6DC69235" w14:textId="77777777" w:rsidR="001726CE" w:rsidRDefault="001726CE" w:rsidP="00D77DEC">
      <w:pPr>
        <w:pStyle w:val="KUJKnormal"/>
      </w:pPr>
    </w:p>
    <w:p w14:paraId="75E3DC5C" w14:textId="77777777" w:rsidR="001726CE" w:rsidRPr="0052161F" w:rsidRDefault="001726CE" w:rsidP="00D77DEC">
      <w:pPr>
        <w:pStyle w:val="KUJKtucny"/>
      </w:pPr>
      <w:r w:rsidRPr="0052161F">
        <w:t>NÁVRH USNESENÍ</w:t>
      </w:r>
    </w:p>
    <w:p w14:paraId="41899ED9" w14:textId="77777777" w:rsidR="001726CE" w:rsidRDefault="001726CE" w:rsidP="00D77DEC">
      <w:pPr>
        <w:pStyle w:val="KUJKnormal"/>
        <w:rPr>
          <w:rFonts w:ascii="Calibri" w:hAnsi="Calibri" w:cs="Calibri"/>
          <w:sz w:val="12"/>
          <w:szCs w:val="12"/>
        </w:rPr>
      </w:pPr>
      <w:bookmarkStart w:id="1" w:name="US_ZaVeVeci"/>
      <w:bookmarkEnd w:id="1"/>
    </w:p>
    <w:p w14:paraId="579FB430" w14:textId="77777777" w:rsidR="001726CE" w:rsidRPr="00841DFC" w:rsidRDefault="001726CE" w:rsidP="001726CE">
      <w:pPr>
        <w:pStyle w:val="KUJKPolozka"/>
        <w:spacing w:line="240" w:lineRule="auto"/>
      </w:pPr>
      <w:r w:rsidRPr="00841DFC">
        <w:t>Zastupitelstvo Jihočeského kraje</w:t>
      </w:r>
    </w:p>
    <w:p w14:paraId="24D0689C" w14:textId="77777777" w:rsidR="001726CE" w:rsidRDefault="001726CE" w:rsidP="005711F5">
      <w:pPr>
        <w:pStyle w:val="KUJKdoplnek2"/>
        <w:numPr>
          <w:ilvl w:val="0"/>
          <w:numId w:val="0"/>
        </w:numPr>
        <w:ind w:left="360" w:hanging="360"/>
      </w:pPr>
      <w:r w:rsidRPr="00730306">
        <w:t>bere na vědomí</w:t>
      </w:r>
    </w:p>
    <w:p w14:paraId="6A49F3F9" w14:textId="77777777" w:rsidR="001726CE" w:rsidRDefault="001726CE" w:rsidP="00C34B85">
      <w:pPr>
        <w:pStyle w:val="KUJKnormal"/>
      </w:pPr>
      <w:r w:rsidRPr="005711F5">
        <w:t>úpravu rozpisu rozpočtu přímých výdajů regionálního školství Jihočeského kraje na rok 2021 jednotlivým školám a školským zařízením zřizovaným krajem, svazky obcí a obcemi Jihočeského kraje, v rámci výkonu přenesené působnosti dané Ministerstvem školství, mládeže a tělovýchovy v souladu s § 161c odst. 8 zákona č. 561/2004 Sb., o předškolním, základním, středním, vyšším odborném a jiném vzdělávání, v</w:t>
      </w:r>
      <w:r>
        <w:t> </w:t>
      </w:r>
      <w:r w:rsidRPr="005711F5">
        <w:t>platném znění</w:t>
      </w:r>
      <w:r>
        <w:t>,</w:t>
      </w:r>
      <w:r w:rsidRPr="005711F5">
        <w:t xml:space="preserve"> dle důvodové zprávy a přílohy návrhu č. </w:t>
      </w:r>
      <w:r>
        <w:t>288</w:t>
      </w:r>
      <w:r w:rsidRPr="005711F5">
        <w:t>/</w:t>
      </w:r>
      <w:r>
        <w:t>Z</w:t>
      </w:r>
      <w:r w:rsidRPr="005711F5">
        <w:t>K/21</w:t>
      </w:r>
      <w:r>
        <w:t>.</w:t>
      </w:r>
    </w:p>
    <w:p w14:paraId="3221865A" w14:textId="77777777" w:rsidR="001726CE" w:rsidRDefault="001726CE" w:rsidP="00C34B85">
      <w:pPr>
        <w:pStyle w:val="KUJKnormal"/>
      </w:pPr>
    </w:p>
    <w:p w14:paraId="4B2BFDF1" w14:textId="77777777" w:rsidR="001726CE" w:rsidRDefault="001726CE" w:rsidP="00C34B85">
      <w:pPr>
        <w:pStyle w:val="KUJKnormal"/>
      </w:pPr>
    </w:p>
    <w:p w14:paraId="71B9D8D2" w14:textId="77777777" w:rsidR="001726CE" w:rsidRDefault="001726CE" w:rsidP="00C34B85">
      <w:pPr>
        <w:pStyle w:val="KUJKnadpisDZ"/>
      </w:pPr>
      <w:bookmarkStart w:id="2" w:name="US_DuvodZprava"/>
      <w:bookmarkEnd w:id="2"/>
      <w:r>
        <w:t>DŮVODOVÁ ZPRÁVA</w:t>
      </w:r>
    </w:p>
    <w:p w14:paraId="01BFDB11" w14:textId="77777777" w:rsidR="001726CE" w:rsidRDefault="001726CE" w:rsidP="00C34B85">
      <w:pPr>
        <w:pStyle w:val="KUJKmezeraDZ"/>
      </w:pPr>
    </w:p>
    <w:p w14:paraId="3843C882" w14:textId="77777777" w:rsidR="001726CE" w:rsidRPr="007C1739" w:rsidRDefault="001726CE" w:rsidP="007C1739">
      <w:pPr>
        <w:pStyle w:val="KUJKnormal"/>
      </w:pPr>
    </w:p>
    <w:p w14:paraId="1B6FF8F3" w14:textId="77777777" w:rsidR="001726CE" w:rsidRDefault="001726CE" w:rsidP="005711F5">
      <w:pPr>
        <w:pStyle w:val="KUJKnormal"/>
      </w:pPr>
      <w:r>
        <w:t>Zákon č. 561/2004 Sb., o předškolním, základním, středním, vyšším odborném a jiném vzdělávání (školský zákon), v platném znění, ukládá krajskému úřadu v § 161c odst. 8 o rozpisu a přidělení finančních prostředků následně informovat zastupitelstvo kraje.</w:t>
      </w:r>
    </w:p>
    <w:p w14:paraId="31AE44F7" w14:textId="77777777" w:rsidR="001726CE" w:rsidRDefault="001726CE" w:rsidP="005711F5">
      <w:pPr>
        <w:pStyle w:val="KUJKnormal"/>
      </w:pPr>
    </w:p>
    <w:p w14:paraId="05988489" w14:textId="77777777" w:rsidR="001726CE" w:rsidRDefault="001726CE" w:rsidP="005711F5">
      <w:pPr>
        <w:pStyle w:val="KUJKnormal"/>
      </w:pPr>
      <w:r>
        <w:t>Krajský úřad při úpravě ukazatelů rozpisu rozpočtu postupuje dle směrnice MŠMT č. j. MSMT-38045/2020 ze dne 20 ledna 2021, kterou se mění směrnice č. j. MSMT-14281/2018 ze dne 11. dubna 2019 o závazných zásadách pro rozpisy a návrhy rozpisů finančních prostředků státního rozpočtu krajskými úřady a obecními úřady obcí s rozšířenou působností ve znění směrnice č. j. MSMT-32965/2019, podle které postupuje krajský úřad při rozpisu rozpočtu, úpravách rozpisu rozpočtu a poskytování finančních prostředků (dále jen „směrnice“).</w:t>
      </w:r>
    </w:p>
    <w:p w14:paraId="47213637" w14:textId="77777777" w:rsidR="001726CE" w:rsidRDefault="001726CE" w:rsidP="005711F5">
      <w:pPr>
        <w:pStyle w:val="KUJKnormal"/>
      </w:pPr>
    </w:p>
    <w:p w14:paraId="6029A988" w14:textId="77777777" w:rsidR="001726CE" w:rsidRDefault="001726CE" w:rsidP="005711F5">
      <w:pPr>
        <w:jc w:val="both"/>
        <w:rPr>
          <w:rFonts w:ascii="Arial" w:hAnsi="Arial" w:cs="Arial"/>
          <w:b/>
          <w:bCs/>
          <w:szCs w:val="20"/>
        </w:rPr>
      </w:pPr>
      <w:r>
        <w:rPr>
          <w:rFonts w:ascii="Arial" w:hAnsi="Arial" w:cs="Arial"/>
          <w:b/>
          <w:bCs/>
          <w:szCs w:val="20"/>
        </w:rPr>
        <w:t>1. Úprava rozpisu rozpočtu na základě výkazů R44-99 – podpůrná opatření</w:t>
      </w:r>
    </w:p>
    <w:p w14:paraId="3959A02C" w14:textId="77777777" w:rsidR="001726CE" w:rsidRDefault="001726CE" w:rsidP="005711F5">
      <w:pPr>
        <w:jc w:val="both"/>
        <w:rPr>
          <w:rFonts w:ascii="Arial" w:hAnsi="Arial" w:cs="Arial"/>
          <w:szCs w:val="20"/>
        </w:rPr>
      </w:pPr>
      <w:r>
        <w:rPr>
          <w:rFonts w:ascii="Arial" w:hAnsi="Arial" w:cs="Arial"/>
          <w:szCs w:val="20"/>
        </w:rPr>
        <w:t xml:space="preserve">Dle čl. VII směrnice je krajský úřad povinen rozepsat finanční prostředky na přímé výdaje a ONIV ze státního rozpočtu na podpůrná opatření podle § 16 školského zákona, která uvedou školy a školská zařízení ve Výkazu R44-99 v průběhu kalendářního roku v případě, že na ně požadují finanční prostředky. Dále krajský úřad plní i informační funkci, tedy v pravidelných měsíčních intervalech zasílá jednotlivým dotčeným školám a školským zařízením informační dopis ohledně vykázaných podpůrných opatření, ve kterém avizuje </w:t>
      </w:r>
      <w:r>
        <w:rPr>
          <w:rFonts w:ascii="Arial" w:hAnsi="Arial" w:cs="Arial"/>
          <w:szCs w:val="20"/>
        </w:rPr>
        <w:lastRenderedPageBreak/>
        <w:t xml:space="preserve">školám strukturu a počet podpůrných opatření za vykazovací období a příslušnou částku v Kč, která bude škole přiznána v nejbližší úpravě rozpisu rozpočtu přímých výdajů. </w:t>
      </w:r>
    </w:p>
    <w:p w14:paraId="3E6282B0" w14:textId="77777777" w:rsidR="001726CE" w:rsidRDefault="001726CE" w:rsidP="005711F5">
      <w:pPr>
        <w:jc w:val="both"/>
        <w:rPr>
          <w:rFonts w:ascii="Arial" w:hAnsi="Arial" w:cs="Arial"/>
          <w:b/>
          <w:bCs/>
          <w:szCs w:val="20"/>
          <w:highlight w:val="yellow"/>
        </w:rPr>
      </w:pPr>
    </w:p>
    <w:p w14:paraId="643C7772" w14:textId="77777777" w:rsidR="001726CE" w:rsidRDefault="001726CE" w:rsidP="005711F5">
      <w:pPr>
        <w:jc w:val="both"/>
        <w:rPr>
          <w:rFonts w:ascii="Arial" w:hAnsi="Arial" w:cs="Arial"/>
          <w:b/>
          <w:bCs/>
          <w:szCs w:val="20"/>
          <w:highlight w:val="yellow"/>
        </w:rPr>
      </w:pPr>
    </w:p>
    <w:p w14:paraId="7EBF44A0" w14:textId="77777777" w:rsidR="001726CE" w:rsidRDefault="001726CE" w:rsidP="005711F5">
      <w:pPr>
        <w:jc w:val="both"/>
        <w:rPr>
          <w:rFonts w:ascii="Arial" w:hAnsi="Arial" w:cs="Arial"/>
          <w:b/>
          <w:bCs/>
          <w:szCs w:val="20"/>
          <w:highlight w:val="yellow"/>
        </w:rPr>
      </w:pPr>
    </w:p>
    <w:p w14:paraId="0AB8A3C4" w14:textId="77777777" w:rsidR="001726CE" w:rsidRDefault="001726CE" w:rsidP="005711F5">
      <w:pPr>
        <w:jc w:val="both"/>
        <w:rPr>
          <w:rFonts w:ascii="Arial" w:hAnsi="Arial" w:cs="Arial"/>
          <w:b/>
          <w:bCs/>
          <w:szCs w:val="20"/>
          <w:highlight w:val="yellow"/>
        </w:rPr>
      </w:pPr>
    </w:p>
    <w:p w14:paraId="686F5092" w14:textId="77777777" w:rsidR="001726CE" w:rsidRDefault="001726CE" w:rsidP="005711F5">
      <w:pPr>
        <w:jc w:val="both"/>
        <w:rPr>
          <w:rFonts w:ascii="Arial" w:hAnsi="Arial" w:cs="Arial"/>
          <w:b/>
          <w:bCs/>
          <w:szCs w:val="20"/>
          <w:highlight w:val="yellow"/>
        </w:rPr>
      </w:pPr>
    </w:p>
    <w:p w14:paraId="1172DDFD" w14:textId="77777777" w:rsidR="001726CE" w:rsidRDefault="001726CE" w:rsidP="005711F5">
      <w:pPr>
        <w:jc w:val="both"/>
        <w:rPr>
          <w:rFonts w:ascii="Arial" w:hAnsi="Arial" w:cs="Arial"/>
          <w:b/>
          <w:bCs/>
          <w:szCs w:val="20"/>
          <w:highlight w:val="yellow"/>
        </w:rPr>
      </w:pPr>
    </w:p>
    <w:p w14:paraId="7EBAEA6E" w14:textId="77777777" w:rsidR="001726CE" w:rsidRDefault="001726CE" w:rsidP="005711F5">
      <w:pPr>
        <w:jc w:val="both"/>
        <w:rPr>
          <w:rFonts w:ascii="Arial" w:hAnsi="Arial" w:cs="Arial"/>
          <w:szCs w:val="20"/>
        </w:rPr>
      </w:pPr>
      <w:r>
        <w:rPr>
          <w:rFonts w:ascii="Arial" w:hAnsi="Arial" w:cs="Arial"/>
          <w:szCs w:val="20"/>
        </w:rPr>
        <w:t>Tab. 1 – Úprava rozpočtu přímých výdajů dle Výkazu R44-99 za měsíc květen a za měsíc červen v roce 2021</w:t>
      </w:r>
    </w:p>
    <w:tbl>
      <w:tblPr>
        <w:tblW w:w="9480" w:type="dxa"/>
        <w:tblInd w:w="70" w:type="dxa"/>
        <w:tblLayout w:type="fixed"/>
        <w:tblCellMar>
          <w:left w:w="70" w:type="dxa"/>
          <w:right w:w="70" w:type="dxa"/>
        </w:tblCellMar>
        <w:tblLook w:val="04A0" w:firstRow="1" w:lastRow="0" w:firstColumn="1" w:lastColumn="0" w:noHBand="0" w:noVBand="1"/>
      </w:tblPr>
      <w:tblGrid>
        <w:gridCol w:w="1560"/>
        <w:gridCol w:w="1418"/>
        <w:gridCol w:w="1559"/>
        <w:gridCol w:w="1418"/>
        <w:gridCol w:w="1134"/>
        <w:gridCol w:w="1134"/>
        <w:gridCol w:w="1257"/>
      </w:tblGrid>
      <w:tr w:rsidR="001726CE" w14:paraId="71700F9A" w14:textId="77777777" w:rsidTr="002643B2">
        <w:trPr>
          <w:trHeight w:val="226"/>
        </w:trPr>
        <w:tc>
          <w:tcPr>
            <w:tcW w:w="1560" w:type="dxa"/>
            <w:tcBorders>
              <w:top w:val="nil"/>
              <w:left w:val="nil"/>
              <w:bottom w:val="single" w:sz="8" w:space="0" w:color="auto"/>
              <w:right w:val="single" w:sz="8" w:space="0" w:color="auto"/>
            </w:tcBorders>
            <w:noWrap/>
            <w:vAlign w:val="bottom"/>
            <w:hideMark/>
          </w:tcPr>
          <w:p w14:paraId="63C06EA7"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 </w:t>
            </w:r>
          </w:p>
        </w:tc>
        <w:tc>
          <w:tcPr>
            <w:tcW w:w="2977" w:type="dxa"/>
            <w:gridSpan w:val="2"/>
            <w:tcBorders>
              <w:top w:val="single" w:sz="8" w:space="0" w:color="auto"/>
              <w:left w:val="nil"/>
              <w:bottom w:val="single" w:sz="8" w:space="0" w:color="auto"/>
              <w:right w:val="single" w:sz="8" w:space="0" w:color="000000"/>
            </w:tcBorders>
            <w:noWrap/>
            <w:vAlign w:val="bottom"/>
            <w:hideMark/>
          </w:tcPr>
          <w:p w14:paraId="6861DDB3"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Závazný ukazatel</w:t>
            </w:r>
          </w:p>
        </w:tc>
        <w:tc>
          <w:tcPr>
            <w:tcW w:w="3686" w:type="dxa"/>
            <w:gridSpan w:val="3"/>
            <w:tcBorders>
              <w:top w:val="single" w:sz="8" w:space="0" w:color="auto"/>
              <w:left w:val="nil"/>
              <w:bottom w:val="single" w:sz="8" w:space="0" w:color="auto"/>
              <w:right w:val="single" w:sz="8" w:space="0" w:color="000000"/>
            </w:tcBorders>
            <w:vAlign w:val="bottom"/>
            <w:hideMark/>
          </w:tcPr>
          <w:p w14:paraId="0D82FE7D"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Orientační ukazatele</w:t>
            </w:r>
          </w:p>
        </w:tc>
        <w:tc>
          <w:tcPr>
            <w:tcW w:w="1257" w:type="dxa"/>
            <w:vMerge w:val="restart"/>
            <w:tcBorders>
              <w:top w:val="single" w:sz="8" w:space="0" w:color="auto"/>
              <w:left w:val="nil"/>
              <w:bottom w:val="single" w:sz="8" w:space="0" w:color="000000"/>
              <w:right w:val="single" w:sz="8" w:space="0" w:color="000000"/>
            </w:tcBorders>
            <w:hideMark/>
          </w:tcPr>
          <w:p w14:paraId="7569A872"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Závazný ukazatel – Počet pracovníků</w:t>
            </w:r>
          </w:p>
        </w:tc>
      </w:tr>
      <w:tr w:rsidR="001726CE" w14:paraId="58DA2705" w14:textId="77777777" w:rsidTr="002643B2">
        <w:trPr>
          <w:trHeight w:val="226"/>
        </w:trPr>
        <w:tc>
          <w:tcPr>
            <w:tcW w:w="1560" w:type="dxa"/>
            <w:vMerge w:val="restart"/>
            <w:tcBorders>
              <w:top w:val="nil"/>
              <w:left w:val="single" w:sz="8" w:space="0" w:color="auto"/>
              <w:bottom w:val="single" w:sz="8" w:space="0" w:color="000000"/>
              <w:right w:val="single" w:sz="8" w:space="0" w:color="auto"/>
            </w:tcBorders>
            <w:noWrap/>
            <w:vAlign w:val="bottom"/>
            <w:hideMark/>
          </w:tcPr>
          <w:p w14:paraId="73138040" w14:textId="77777777" w:rsidR="001726CE" w:rsidRDefault="001726CE" w:rsidP="002643B2">
            <w:pP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Měsíc v roce 2021</w:t>
            </w:r>
          </w:p>
        </w:tc>
        <w:tc>
          <w:tcPr>
            <w:tcW w:w="1418" w:type="dxa"/>
            <w:tcBorders>
              <w:top w:val="nil"/>
              <w:left w:val="nil"/>
              <w:bottom w:val="nil"/>
              <w:right w:val="single" w:sz="8" w:space="0" w:color="auto"/>
            </w:tcBorders>
            <w:noWrap/>
            <w:vAlign w:val="bottom"/>
            <w:hideMark/>
          </w:tcPr>
          <w:p w14:paraId="4E2C1A73"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NIV</w:t>
            </w:r>
          </w:p>
        </w:tc>
        <w:tc>
          <w:tcPr>
            <w:tcW w:w="1559" w:type="dxa"/>
            <w:tcBorders>
              <w:top w:val="single" w:sz="8" w:space="0" w:color="auto"/>
              <w:left w:val="nil"/>
              <w:bottom w:val="nil"/>
              <w:right w:val="single" w:sz="8" w:space="0" w:color="000000"/>
            </w:tcBorders>
            <w:noWrap/>
            <w:vAlign w:val="bottom"/>
            <w:hideMark/>
          </w:tcPr>
          <w:p w14:paraId="0CFF89B8"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MP</w:t>
            </w:r>
          </w:p>
        </w:tc>
        <w:tc>
          <w:tcPr>
            <w:tcW w:w="2552" w:type="dxa"/>
            <w:gridSpan w:val="2"/>
            <w:tcBorders>
              <w:top w:val="single" w:sz="8" w:space="0" w:color="auto"/>
              <w:left w:val="nil"/>
              <w:bottom w:val="single" w:sz="8" w:space="0" w:color="auto"/>
              <w:right w:val="single" w:sz="8" w:space="0" w:color="000000"/>
            </w:tcBorders>
            <w:noWrap/>
            <w:vAlign w:val="bottom"/>
            <w:hideMark/>
          </w:tcPr>
          <w:p w14:paraId="42530673"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Odvody</w:t>
            </w:r>
          </w:p>
        </w:tc>
        <w:tc>
          <w:tcPr>
            <w:tcW w:w="1134" w:type="dxa"/>
            <w:tcBorders>
              <w:top w:val="nil"/>
              <w:left w:val="nil"/>
              <w:bottom w:val="nil"/>
              <w:right w:val="single" w:sz="8" w:space="0" w:color="auto"/>
            </w:tcBorders>
            <w:vAlign w:val="bottom"/>
            <w:hideMark/>
          </w:tcPr>
          <w:p w14:paraId="062B42DF"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ONIV</w:t>
            </w:r>
          </w:p>
        </w:tc>
        <w:tc>
          <w:tcPr>
            <w:tcW w:w="1257" w:type="dxa"/>
            <w:vMerge/>
            <w:tcBorders>
              <w:top w:val="single" w:sz="8" w:space="0" w:color="auto"/>
              <w:left w:val="nil"/>
              <w:bottom w:val="single" w:sz="8" w:space="0" w:color="000000"/>
              <w:right w:val="single" w:sz="8" w:space="0" w:color="000000"/>
            </w:tcBorders>
            <w:vAlign w:val="center"/>
            <w:hideMark/>
          </w:tcPr>
          <w:p w14:paraId="44B1175D" w14:textId="77777777" w:rsidR="001726CE" w:rsidRDefault="001726CE" w:rsidP="002643B2">
            <w:pPr>
              <w:rPr>
                <w:rFonts w:ascii="Arial" w:eastAsia="Times New Roman" w:hAnsi="Arial" w:cs="Arial"/>
                <w:b/>
                <w:bCs/>
                <w:color w:val="000000"/>
                <w:szCs w:val="20"/>
                <w:lang w:eastAsia="cs-CZ"/>
              </w:rPr>
            </w:pPr>
          </w:p>
        </w:tc>
      </w:tr>
      <w:tr w:rsidR="001726CE" w14:paraId="055F8696" w14:textId="77777777" w:rsidTr="002643B2">
        <w:trPr>
          <w:trHeight w:val="215"/>
        </w:trPr>
        <w:tc>
          <w:tcPr>
            <w:tcW w:w="1560" w:type="dxa"/>
            <w:vMerge/>
            <w:tcBorders>
              <w:top w:val="nil"/>
              <w:left w:val="single" w:sz="8" w:space="0" w:color="auto"/>
              <w:bottom w:val="single" w:sz="8" w:space="0" w:color="000000"/>
              <w:right w:val="single" w:sz="8" w:space="0" w:color="auto"/>
            </w:tcBorders>
            <w:vAlign w:val="center"/>
            <w:hideMark/>
          </w:tcPr>
          <w:p w14:paraId="4417DBA9" w14:textId="77777777" w:rsidR="001726CE" w:rsidRDefault="001726CE" w:rsidP="002643B2">
            <w:pPr>
              <w:rPr>
                <w:rFonts w:ascii="Arial" w:eastAsia="Times New Roman" w:hAnsi="Arial" w:cs="Arial"/>
                <w:b/>
                <w:bCs/>
                <w:color w:val="000000"/>
                <w:szCs w:val="20"/>
                <w:lang w:eastAsia="cs-CZ"/>
              </w:rPr>
            </w:pPr>
          </w:p>
        </w:tc>
        <w:tc>
          <w:tcPr>
            <w:tcW w:w="1418" w:type="dxa"/>
            <w:vMerge w:val="restart"/>
            <w:tcBorders>
              <w:top w:val="single" w:sz="8" w:space="0" w:color="auto"/>
              <w:left w:val="single" w:sz="8" w:space="0" w:color="auto"/>
              <w:bottom w:val="single" w:sz="8" w:space="0" w:color="000000"/>
              <w:right w:val="single" w:sz="8" w:space="0" w:color="auto"/>
            </w:tcBorders>
            <w:noWrap/>
            <w:vAlign w:val="bottom"/>
            <w:hideMark/>
          </w:tcPr>
          <w:p w14:paraId="6252AB00"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celkem</w:t>
            </w:r>
          </w:p>
        </w:tc>
        <w:tc>
          <w:tcPr>
            <w:tcW w:w="1559" w:type="dxa"/>
            <w:tcBorders>
              <w:top w:val="single" w:sz="8" w:space="0" w:color="auto"/>
              <w:left w:val="nil"/>
              <w:bottom w:val="nil"/>
              <w:right w:val="single" w:sz="8" w:space="0" w:color="auto"/>
            </w:tcBorders>
            <w:noWrap/>
            <w:vAlign w:val="bottom"/>
            <w:hideMark/>
          </w:tcPr>
          <w:p w14:paraId="1876F937" w14:textId="77777777" w:rsidR="001726CE" w:rsidRDefault="001726CE" w:rsidP="002643B2">
            <w:pPr>
              <w:rPr>
                <w:rFonts w:ascii="Arial" w:eastAsia="Times New Roman" w:hAnsi="Arial" w:cs="Arial"/>
                <w:b/>
                <w:bCs/>
                <w:color w:val="000000"/>
                <w:szCs w:val="20"/>
                <w:lang w:eastAsia="cs-CZ"/>
              </w:rPr>
            </w:pPr>
          </w:p>
        </w:tc>
        <w:tc>
          <w:tcPr>
            <w:tcW w:w="1418" w:type="dxa"/>
            <w:vMerge w:val="restart"/>
            <w:tcBorders>
              <w:top w:val="nil"/>
              <w:left w:val="nil"/>
              <w:bottom w:val="single" w:sz="8" w:space="0" w:color="000000"/>
              <w:right w:val="single" w:sz="8" w:space="0" w:color="auto"/>
            </w:tcBorders>
            <w:noWrap/>
            <w:vAlign w:val="bottom"/>
            <w:hideMark/>
          </w:tcPr>
          <w:p w14:paraId="27438122"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pojistné</w:t>
            </w:r>
          </w:p>
        </w:tc>
        <w:tc>
          <w:tcPr>
            <w:tcW w:w="1134" w:type="dxa"/>
            <w:vMerge w:val="restart"/>
            <w:tcBorders>
              <w:top w:val="nil"/>
              <w:left w:val="single" w:sz="8" w:space="0" w:color="auto"/>
              <w:bottom w:val="single" w:sz="8" w:space="0" w:color="000000"/>
              <w:right w:val="single" w:sz="8" w:space="0" w:color="auto"/>
            </w:tcBorders>
            <w:noWrap/>
            <w:vAlign w:val="bottom"/>
            <w:hideMark/>
          </w:tcPr>
          <w:p w14:paraId="63BDBA22"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FKSP</w:t>
            </w:r>
          </w:p>
        </w:tc>
        <w:tc>
          <w:tcPr>
            <w:tcW w:w="1134" w:type="dxa"/>
            <w:vMerge w:val="restart"/>
            <w:tcBorders>
              <w:top w:val="nil"/>
              <w:left w:val="single" w:sz="8" w:space="0" w:color="auto"/>
              <w:bottom w:val="single" w:sz="8" w:space="0" w:color="000000"/>
              <w:right w:val="single" w:sz="8" w:space="0" w:color="auto"/>
            </w:tcBorders>
            <w:vAlign w:val="bottom"/>
            <w:hideMark/>
          </w:tcPr>
          <w:p w14:paraId="009AA0D1"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 </w:t>
            </w:r>
          </w:p>
        </w:tc>
        <w:tc>
          <w:tcPr>
            <w:tcW w:w="1257" w:type="dxa"/>
            <w:vMerge/>
            <w:tcBorders>
              <w:top w:val="single" w:sz="8" w:space="0" w:color="auto"/>
              <w:left w:val="nil"/>
              <w:bottom w:val="single" w:sz="8" w:space="0" w:color="000000"/>
              <w:right w:val="single" w:sz="8" w:space="0" w:color="000000"/>
            </w:tcBorders>
            <w:vAlign w:val="center"/>
            <w:hideMark/>
          </w:tcPr>
          <w:p w14:paraId="47182C12" w14:textId="77777777" w:rsidR="001726CE" w:rsidRDefault="001726CE" w:rsidP="002643B2">
            <w:pPr>
              <w:rPr>
                <w:rFonts w:ascii="Arial" w:eastAsia="Times New Roman" w:hAnsi="Arial" w:cs="Arial"/>
                <w:b/>
                <w:bCs/>
                <w:color w:val="000000"/>
                <w:szCs w:val="20"/>
                <w:lang w:eastAsia="cs-CZ"/>
              </w:rPr>
            </w:pPr>
          </w:p>
        </w:tc>
      </w:tr>
      <w:tr w:rsidR="001726CE" w14:paraId="2698EF42" w14:textId="77777777" w:rsidTr="002643B2">
        <w:trPr>
          <w:trHeight w:val="226"/>
        </w:trPr>
        <w:tc>
          <w:tcPr>
            <w:tcW w:w="1560" w:type="dxa"/>
            <w:vMerge/>
            <w:tcBorders>
              <w:top w:val="nil"/>
              <w:left w:val="single" w:sz="8" w:space="0" w:color="auto"/>
              <w:bottom w:val="single" w:sz="8" w:space="0" w:color="000000"/>
              <w:right w:val="single" w:sz="8" w:space="0" w:color="auto"/>
            </w:tcBorders>
            <w:vAlign w:val="center"/>
            <w:hideMark/>
          </w:tcPr>
          <w:p w14:paraId="3CBAD17A" w14:textId="77777777" w:rsidR="001726CE" w:rsidRDefault="001726CE" w:rsidP="002643B2">
            <w:pPr>
              <w:rPr>
                <w:rFonts w:ascii="Arial" w:eastAsia="Times New Roman" w:hAnsi="Arial" w:cs="Arial"/>
                <w:b/>
                <w:bCs/>
                <w:color w:val="000000"/>
                <w:szCs w:val="20"/>
                <w:lang w:eastAsia="cs-CZ"/>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6031CDF" w14:textId="77777777" w:rsidR="001726CE" w:rsidRDefault="001726CE" w:rsidP="002643B2">
            <w:pPr>
              <w:rPr>
                <w:rFonts w:ascii="Arial" w:eastAsia="Times New Roman" w:hAnsi="Arial" w:cs="Arial"/>
                <w:b/>
                <w:bCs/>
                <w:color w:val="000000"/>
                <w:szCs w:val="20"/>
                <w:lang w:eastAsia="cs-CZ"/>
              </w:rPr>
            </w:pPr>
          </w:p>
        </w:tc>
        <w:tc>
          <w:tcPr>
            <w:tcW w:w="1559" w:type="dxa"/>
            <w:tcBorders>
              <w:top w:val="nil"/>
              <w:left w:val="nil"/>
              <w:bottom w:val="single" w:sz="8" w:space="0" w:color="auto"/>
              <w:right w:val="single" w:sz="8" w:space="0" w:color="auto"/>
            </w:tcBorders>
            <w:noWrap/>
            <w:vAlign w:val="bottom"/>
            <w:hideMark/>
          </w:tcPr>
          <w:p w14:paraId="207771E7"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platy</w:t>
            </w:r>
          </w:p>
        </w:tc>
        <w:tc>
          <w:tcPr>
            <w:tcW w:w="1418" w:type="dxa"/>
            <w:vMerge/>
            <w:tcBorders>
              <w:top w:val="nil"/>
              <w:left w:val="nil"/>
              <w:bottom w:val="single" w:sz="8" w:space="0" w:color="000000"/>
              <w:right w:val="single" w:sz="8" w:space="0" w:color="auto"/>
            </w:tcBorders>
            <w:vAlign w:val="center"/>
            <w:hideMark/>
          </w:tcPr>
          <w:p w14:paraId="21596B0F" w14:textId="77777777" w:rsidR="001726CE" w:rsidRDefault="001726CE" w:rsidP="002643B2">
            <w:pPr>
              <w:rPr>
                <w:rFonts w:ascii="Arial" w:eastAsia="Times New Roman" w:hAnsi="Arial" w:cs="Arial"/>
                <w:b/>
                <w:bCs/>
                <w:color w:val="000000"/>
                <w:szCs w:val="20"/>
                <w:lang w:eastAsia="cs-CZ"/>
              </w:rPr>
            </w:pPr>
          </w:p>
        </w:tc>
        <w:tc>
          <w:tcPr>
            <w:tcW w:w="1134" w:type="dxa"/>
            <w:vMerge/>
            <w:tcBorders>
              <w:top w:val="nil"/>
              <w:left w:val="single" w:sz="8" w:space="0" w:color="auto"/>
              <w:bottom w:val="single" w:sz="8" w:space="0" w:color="000000"/>
              <w:right w:val="single" w:sz="8" w:space="0" w:color="auto"/>
            </w:tcBorders>
            <w:vAlign w:val="center"/>
            <w:hideMark/>
          </w:tcPr>
          <w:p w14:paraId="7E6CE481" w14:textId="77777777" w:rsidR="001726CE" w:rsidRDefault="001726CE" w:rsidP="002643B2">
            <w:pPr>
              <w:rPr>
                <w:rFonts w:ascii="Arial" w:eastAsia="Times New Roman" w:hAnsi="Arial" w:cs="Arial"/>
                <w:b/>
                <w:bCs/>
                <w:color w:val="000000"/>
                <w:szCs w:val="20"/>
                <w:lang w:eastAsia="cs-CZ"/>
              </w:rPr>
            </w:pPr>
          </w:p>
        </w:tc>
        <w:tc>
          <w:tcPr>
            <w:tcW w:w="1134" w:type="dxa"/>
            <w:vMerge/>
            <w:tcBorders>
              <w:top w:val="nil"/>
              <w:left w:val="single" w:sz="8" w:space="0" w:color="auto"/>
              <w:bottom w:val="single" w:sz="8" w:space="0" w:color="000000"/>
              <w:right w:val="single" w:sz="8" w:space="0" w:color="auto"/>
            </w:tcBorders>
            <w:vAlign w:val="center"/>
            <w:hideMark/>
          </w:tcPr>
          <w:p w14:paraId="328722B3" w14:textId="77777777" w:rsidR="001726CE" w:rsidRDefault="001726CE" w:rsidP="002643B2">
            <w:pPr>
              <w:rPr>
                <w:rFonts w:ascii="Arial" w:eastAsia="Times New Roman" w:hAnsi="Arial" w:cs="Arial"/>
                <w:b/>
                <w:bCs/>
                <w:color w:val="000000"/>
                <w:szCs w:val="20"/>
                <w:lang w:eastAsia="cs-CZ"/>
              </w:rPr>
            </w:pPr>
          </w:p>
        </w:tc>
        <w:tc>
          <w:tcPr>
            <w:tcW w:w="1257" w:type="dxa"/>
            <w:vMerge/>
            <w:tcBorders>
              <w:top w:val="single" w:sz="8" w:space="0" w:color="auto"/>
              <w:left w:val="nil"/>
              <w:bottom w:val="single" w:sz="8" w:space="0" w:color="000000"/>
              <w:right w:val="single" w:sz="8" w:space="0" w:color="000000"/>
            </w:tcBorders>
            <w:vAlign w:val="center"/>
            <w:hideMark/>
          </w:tcPr>
          <w:p w14:paraId="054AEDFE" w14:textId="77777777" w:rsidR="001726CE" w:rsidRDefault="001726CE" w:rsidP="002643B2">
            <w:pPr>
              <w:rPr>
                <w:rFonts w:ascii="Arial" w:eastAsia="Times New Roman" w:hAnsi="Arial" w:cs="Arial"/>
                <w:b/>
                <w:bCs/>
                <w:color w:val="000000"/>
                <w:szCs w:val="20"/>
                <w:lang w:eastAsia="cs-CZ"/>
              </w:rPr>
            </w:pPr>
          </w:p>
        </w:tc>
      </w:tr>
      <w:tr w:rsidR="001726CE" w14:paraId="308A7945" w14:textId="77777777" w:rsidTr="002643B2">
        <w:trPr>
          <w:trHeight w:val="226"/>
        </w:trPr>
        <w:tc>
          <w:tcPr>
            <w:tcW w:w="1560" w:type="dxa"/>
            <w:vMerge/>
            <w:tcBorders>
              <w:top w:val="nil"/>
              <w:left w:val="single" w:sz="8" w:space="0" w:color="auto"/>
              <w:bottom w:val="single" w:sz="8" w:space="0" w:color="000000"/>
              <w:right w:val="single" w:sz="8" w:space="0" w:color="auto"/>
            </w:tcBorders>
            <w:vAlign w:val="center"/>
            <w:hideMark/>
          </w:tcPr>
          <w:p w14:paraId="541F837A" w14:textId="77777777" w:rsidR="001726CE" w:rsidRDefault="001726CE" w:rsidP="002643B2">
            <w:pPr>
              <w:rPr>
                <w:rFonts w:ascii="Arial" w:eastAsia="Times New Roman" w:hAnsi="Arial" w:cs="Arial"/>
                <w:b/>
                <w:bCs/>
                <w:color w:val="000000"/>
                <w:szCs w:val="20"/>
                <w:lang w:eastAsia="cs-CZ"/>
              </w:rPr>
            </w:pPr>
          </w:p>
        </w:tc>
        <w:tc>
          <w:tcPr>
            <w:tcW w:w="1418" w:type="dxa"/>
            <w:tcBorders>
              <w:top w:val="nil"/>
              <w:left w:val="nil"/>
              <w:bottom w:val="single" w:sz="8" w:space="0" w:color="auto"/>
              <w:right w:val="single" w:sz="8" w:space="0" w:color="auto"/>
            </w:tcBorders>
            <w:noWrap/>
            <w:vAlign w:val="bottom"/>
            <w:hideMark/>
          </w:tcPr>
          <w:p w14:paraId="5803CA9E"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v Kč</w:t>
            </w:r>
          </w:p>
        </w:tc>
        <w:tc>
          <w:tcPr>
            <w:tcW w:w="1559" w:type="dxa"/>
            <w:tcBorders>
              <w:top w:val="nil"/>
              <w:left w:val="nil"/>
              <w:bottom w:val="single" w:sz="8" w:space="0" w:color="auto"/>
              <w:right w:val="single" w:sz="8" w:space="0" w:color="auto"/>
            </w:tcBorders>
            <w:noWrap/>
            <w:vAlign w:val="bottom"/>
            <w:hideMark/>
          </w:tcPr>
          <w:p w14:paraId="2480ED6F"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v Kč</w:t>
            </w:r>
          </w:p>
        </w:tc>
        <w:tc>
          <w:tcPr>
            <w:tcW w:w="1418" w:type="dxa"/>
            <w:tcBorders>
              <w:top w:val="nil"/>
              <w:left w:val="nil"/>
              <w:bottom w:val="single" w:sz="8" w:space="0" w:color="auto"/>
              <w:right w:val="single" w:sz="8" w:space="0" w:color="auto"/>
            </w:tcBorders>
            <w:noWrap/>
            <w:vAlign w:val="bottom"/>
            <w:hideMark/>
          </w:tcPr>
          <w:p w14:paraId="01219398"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v Kč</w:t>
            </w:r>
          </w:p>
        </w:tc>
        <w:tc>
          <w:tcPr>
            <w:tcW w:w="1134" w:type="dxa"/>
            <w:tcBorders>
              <w:top w:val="nil"/>
              <w:left w:val="nil"/>
              <w:bottom w:val="single" w:sz="8" w:space="0" w:color="auto"/>
              <w:right w:val="single" w:sz="8" w:space="0" w:color="auto"/>
            </w:tcBorders>
            <w:noWrap/>
            <w:vAlign w:val="bottom"/>
            <w:hideMark/>
          </w:tcPr>
          <w:p w14:paraId="0027E0A6"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v Kč</w:t>
            </w:r>
          </w:p>
        </w:tc>
        <w:tc>
          <w:tcPr>
            <w:tcW w:w="1134" w:type="dxa"/>
            <w:tcBorders>
              <w:top w:val="nil"/>
              <w:left w:val="nil"/>
              <w:bottom w:val="single" w:sz="8" w:space="0" w:color="auto"/>
              <w:right w:val="single" w:sz="8" w:space="0" w:color="auto"/>
            </w:tcBorders>
            <w:noWrap/>
            <w:vAlign w:val="bottom"/>
            <w:hideMark/>
          </w:tcPr>
          <w:p w14:paraId="14E1FD27"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v Kč</w:t>
            </w:r>
          </w:p>
        </w:tc>
        <w:tc>
          <w:tcPr>
            <w:tcW w:w="1257" w:type="dxa"/>
            <w:tcBorders>
              <w:top w:val="nil"/>
              <w:left w:val="nil"/>
              <w:bottom w:val="single" w:sz="8" w:space="0" w:color="auto"/>
              <w:right w:val="single" w:sz="8" w:space="0" w:color="auto"/>
            </w:tcBorders>
            <w:hideMark/>
          </w:tcPr>
          <w:p w14:paraId="3CB96CAA" w14:textId="77777777" w:rsidR="001726CE" w:rsidRDefault="001726CE" w:rsidP="002643B2">
            <w:pPr>
              <w:jc w:val="center"/>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v úvazcích</w:t>
            </w:r>
          </w:p>
        </w:tc>
      </w:tr>
      <w:tr w:rsidR="001726CE" w:rsidRPr="00D75CE5" w14:paraId="6E019AEA" w14:textId="77777777" w:rsidTr="002643B2">
        <w:trPr>
          <w:trHeight w:val="236"/>
        </w:trPr>
        <w:tc>
          <w:tcPr>
            <w:tcW w:w="1560" w:type="dxa"/>
            <w:tcBorders>
              <w:top w:val="nil"/>
              <w:left w:val="single" w:sz="8" w:space="0" w:color="auto"/>
              <w:bottom w:val="single" w:sz="8" w:space="0" w:color="auto"/>
              <w:right w:val="single" w:sz="8" w:space="0" w:color="auto"/>
            </w:tcBorders>
            <w:noWrap/>
            <w:vAlign w:val="bottom"/>
            <w:hideMark/>
          </w:tcPr>
          <w:p w14:paraId="4B5B18CB" w14:textId="77777777" w:rsidR="001726CE" w:rsidRDefault="001726CE" w:rsidP="002643B2">
            <w:pPr>
              <w:spacing w:before="240"/>
              <w:ind w:left="720"/>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květen</w:t>
            </w:r>
          </w:p>
        </w:tc>
        <w:tc>
          <w:tcPr>
            <w:tcW w:w="1418" w:type="dxa"/>
            <w:tcBorders>
              <w:top w:val="nil"/>
              <w:left w:val="nil"/>
              <w:bottom w:val="single" w:sz="8" w:space="0" w:color="auto"/>
              <w:right w:val="single" w:sz="8" w:space="0" w:color="auto"/>
            </w:tcBorders>
            <w:noWrap/>
            <w:vAlign w:val="bottom"/>
            <w:hideMark/>
          </w:tcPr>
          <w:p w14:paraId="00D2FD97"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1 643 649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57352A"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1 170 397</w:t>
            </w:r>
          </w:p>
        </w:tc>
        <w:tc>
          <w:tcPr>
            <w:tcW w:w="1418" w:type="dxa"/>
            <w:tcBorders>
              <w:top w:val="single" w:sz="4" w:space="0" w:color="auto"/>
              <w:left w:val="nil"/>
              <w:bottom w:val="single" w:sz="4" w:space="0" w:color="auto"/>
              <w:right w:val="single" w:sz="4" w:space="0" w:color="auto"/>
            </w:tcBorders>
            <w:noWrap/>
            <w:hideMark/>
          </w:tcPr>
          <w:p w14:paraId="619F65A6"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395 594</w:t>
            </w:r>
          </w:p>
        </w:tc>
        <w:tc>
          <w:tcPr>
            <w:tcW w:w="1134" w:type="dxa"/>
            <w:tcBorders>
              <w:top w:val="single" w:sz="4" w:space="0" w:color="auto"/>
              <w:left w:val="nil"/>
              <w:bottom w:val="single" w:sz="4" w:space="0" w:color="auto"/>
              <w:right w:val="single" w:sz="4" w:space="0" w:color="auto"/>
            </w:tcBorders>
            <w:noWrap/>
            <w:hideMark/>
          </w:tcPr>
          <w:p w14:paraId="3B0B6AFF"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23 408</w:t>
            </w:r>
          </w:p>
        </w:tc>
        <w:tc>
          <w:tcPr>
            <w:tcW w:w="1134" w:type="dxa"/>
            <w:tcBorders>
              <w:top w:val="single" w:sz="4" w:space="0" w:color="auto"/>
              <w:left w:val="nil"/>
              <w:bottom w:val="single" w:sz="4" w:space="0" w:color="auto"/>
              <w:right w:val="single" w:sz="4" w:space="0" w:color="auto"/>
            </w:tcBorders>
            <w:hideMark/>
          </w:tcPr>
          <w:p w14:paraId="40147C5F"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54 250</w:t>
            </w:r>
          </w:p>
        </w:tc>
        <w:tc>
          <w:tcPr>
            <w:tcW w:w="1257" w:type="dxa"/>
            <w:tcBorders>
              <w:top w:val="single" w:sz="4" w:space="0" w:color="auto"/>
              <w:left w:val="nil"/>
              <w:bottom w:val="single" w:sz="4" w:space="0" w:color="auto"/>
              <w:right w:val="single" w:sz="4" w:space="0" w:color="auto"/>
            </w:tcBorders>
            <w:hideMark/>
          </w:tcPr>
          <w:p w14:paraId="6CF42A24"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3,3479</w:t>
            </w:r>
          </w:p>
        </w:tc>
      </w:tr>
      <w:tr w:rsidR="001726CE" w14:paraId="3F95B611" w14:textId="77777777" w:rsidTr="002643B2">
        <w:trPr>
          <w:trHeight w:val="236"/>
        </w:trPr>
        <w:tc>
          <w:tcPr>
            <w:tcW w:w="1560" w:type="dxa"/>
            <w:tcBorders>
              <w:top w:val="nil"/>
              <w:left w:val="single" w:sz="8" w:space="0" w:color="auto"/>
              <w:bottom w:val="single" w:sz="8" w:space="0" w:color="auto"/>
              <w:right w:val="single" w:sz="8" w:space="0" w:color="auto"/>
            </w:tcBorders>
            <w:noWrap/>
            <w:vAlign w:val="bottom"/>
            <w:hideMark/>
          </w:tcPr>
          <w:p w14:paraId="4EA0FC51" w14:textId="77777777" w:rsidR="001726CE" w:rsidRDefault="001726CE" w:rsidP="002643B2">
            <w:pPr>
              <w:spacing w:before="240"/>
              <w:ind w:left="720"/>
              <w:rPr>
                <w:rFonts w:ascii="Arial" w:eastAsia="Times New Roman" w:hAnsi="Arial" w:cs="Arial"/>
                <w:b/>
                <w:bCs/>
                <w:color w:val="000000"/>
                <w:szCs w:val="20"/>
                <w:lang w:eastAsia="cs-CZ"/>
              </w:rPr>
            </w:pPr>
            <w:r>
              <w:rPr>
                <w:rFonts w:ascii="Arial" w:eastAsia="Times New Roman" w:hAnsi="Arial" w:cs="Arial"/>
                <w:b/>
                <w:bCs/>
                <w:color w:val="000000"/>
                <w:szCs w:val="20"/>
                <w:lang w:eastAsia="cs-CZ"/>
              </w:rPr>
              <w:t>červen</w:t>
            </w:r>
          </w:p>
        </w:tc>
        <w:tc>
          <w:tcPr>
            <w:tcW w:w="1418" w:type="dxa"/>
            <w:tcBorders>
              <w:top w:val="nil"/>
              <w:left w:val="nil"/>
              <w:bottom w:val="single" w:sz="8" w:space="0" w:color="auto"/>
              <w:right w:val="single" w:sz="8" w:space="0" w:color="auto"/>
            </w:tcBorders>
            <w:noWrap/>
            <w:vAlign w:val="bottom"/>
            <w:hideMark/>
          </w:tcPr>
          <w:p w14:paraId="10FC8C44" w14:textId="77777777" w:rsidR="001726CE" w:rsidRPr="009D00D4" w:rsidRDefault="001726CE" w:rsidP="002643B2">
            <w:pPr>
              <w:spacing w:before="240"/>
              <w:jc w:val="right"/>
              <w:rPr>
                <w:rFonts w:ascii="Arial" w:hAnsi="Arial" w:cs="Arial"/>
                <w:bCs/>
                <w:color w:val="000000"/>
                <w:szCs w:val="20"/>
              </w:rPr>
            </w:pPr>
            <w:r w:rsidRPr="009D00D4">
              <w:rPr>
                <w:rFonts w:ascii="Arial" w:hAnsi="Arial" w:cs="Arial"/>
                <w:bCs/>
                <w:color w:val="000000"/>
                <w:szCs w:val="20"/>
              </w:rPr>
              <w:t>-3 411 130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DC234" w14:textId="77777777" w:rsidR="001726CE" w:rsidRPr="00D75CE5" w:rsidRDefault="001726CE" w:rsidP="002643B2">
            <w:pPr>
              <w:spacing w:before="240"/>
              <w:jc w:val="right"/>
              <w:rPr>
                <w:rFonts w:ascii="Arial" w:hAnsi="Arial" w:cs="Arial"/>
                <w:bCs/>
                <w:color w:val="000000"/>
                <w:szCs w:val="20"/>
              </w:rPr>
            </w:pPr>
            <w:r w:rsidRPr="00D75CE5">
              <w:rPr>
                <w:rFonts w:ascii="Arial" w:hAnsi="Arial" w:cs="Arial"/>
                <w:bCs/>
                <w:color w:val="000000"/>
                <w:szCs w:val="20"/>
              </w:rPr>
              <w:t>-2 545 199</w:t>
            </w:r>
          </w:p>
        </w:tc>
        <w:tc>
          <w:tcPr>
            <w:tcW w:w="1418" w:type="dxa"/>
            <w:tcBorders>
              <w:top w:val="single" w:sz="4" w:space="0" w:color="auto"/>
              <w:left w:val="nil"/>
              <w:bottom w:val="single" w:sz="4" w:space="0" w:color="auto"/>
              <w:right w:val="single" w:sz="4" w:space="0" w:color="auto"/>
            </w:tcBorders>
            <w:noWrap/>
            <w:hideMark/>
          </w:tcPr>
          <w:p w14:paraId="163012E5" w14:textId="77777777" w:rsidR="001726CE" w:rsidRPr="009D00D4" w:rsidRDefault="001726CE" w:rsidP="002643B2">
            <w:pPr>
              <w:spacing w:before="240"/>
              <w:jc w:val="right"/>
              <w:rPr>
                <w:rFonts w:ascii="Arial" w:hAnsi="Arial" w:cs="Arial"/>
                <w:bCs/>
                <w:color w:val="000000"/>
                <w:szCs w:val="20"/>
              </w:rPr>
            </w:pPr>
            <w:r w:rsidRPr="009D00D4">
              <w:rPr>
                <w:rFonts w:ascii="Arial" w:hAnsi="Arial" w:cs="Arial"/>
                <w:bCs/>
                <w:color w:val="000000"/>
                <w:szCs w:val="20"/>
              </w:rPr>
              <w:t>-860 277</w:t>
            </w:r>
          </w:p>
        </w:tc>
        <w:tc>
          <w:tcPr>
            <w:tcW w:w="1134" w:type="dxa"/>
            <w:tcBorders>
              <w:top w:val="single" w:sz="4" w:space="0" w:color="auto"/>
              <w:left w:val="nil"/>
              <w:bottom w:val="single" w:sz="4" w:space="0" w:color="auto"/>
              <w:right w:val="single" w:sz="4" w:space="0" w:color="auto"/>
            </w:tcBorders>
            <w:noWrap/>
            <w:hideMark/>
          </w:tcPr>
          <w:p w14:paraId="4D51920A" w14:textId="77777777" w:rsidR="001726CE" w:rsidRPr="009D00D4" w:rsidRDefault="001726CE" w:rsidP="002643B2">
            <w:pPr>
              <w:spacing w:before="240"/>
              <w:jc w:val="right"/>
              <w:rPr>
                <w:rFonts w:ascii="Arial" w:hAnsi="Arial" w:cs="Arial"/>
                <w:bCs/>
                <w:color w:val="000000"/>
                <w:szCs w:val="20"/>
              </w:rPr>
            </w:pPr>
            <w:r w:rsidRPr="009D00D4">
              <w:rPr>
                <w:rFonts w:ascii="Arial" w:hAnsi="Arial" w:cs="Arial"/>
                <w:bCs/>
                <w:color w:val="000000"/>
                <w:szCs w:val="20"/>
              </w:rPr>
              <w:t>-50 904</w:t>
            </w:r>
          </w:p>
        </w:tc>
        <w:tc>
          <w:tcPr>
            <w:tcW w:w="1134" w:type="dxa"/>
            <w:tcBorders>
              <w:top w:val="single" w:sz="4" w:space="0" w:color="auto"/>
              <w:left w:val="nil"/>
              <w:bottom w:val="single" w:sz="4" w:space="0" w:color="auto"/>
              <w:right w:val="single" w:sz="4" w:space="0" w:color="auto"/>
            </w:tcBorders>
            <w:hideMark/>
          </w:tcPr>
          <w:p w14:paraId="4D5C61F9" w14:textId="77777777" w:rsidR="001726CE" w:rsidRPr="009D00D4" w:rsidRDefault="001726CE" w:rsidP="002643B2">
            <w:pPr>
              <w:spacing w:before="240"/>
              <w:jc w:val="right"/>
              <w:rPr>
                <w:rFonts w:ascii="Arial" w:hAnsi="Arial" w:cs="Arial"/>
                <w:bCs/>
                <w:color w:val="000000"/>
                <w:szCs w:val="20"/>
              </w:rPr>
            </w:pPr>
            <w:r w:rsidRPr="009D00D4">
              <w:rPr>
                <w:rFonts w:ascii="Arial" w:hAnsi="Arial" w:cs="Arial"/>
                <w:bCs/>
                <w:color w:val="000000"/>
                <w:szCs w:val="20"/>
              </w:rPr>
              <w:t>45 250</w:t>
            </w:r>
          </w:p>
        </w:tc>
        <w:tc>
          <w:tcPr>
            <w:tcW w:w="1257" w:type="dxa"/>
            <w:tcBorders>
              <w:top w:val="single" w:sz="4" w:space="0" w:color="auto"/>
              <w:left w:val="nil"/>
              <w:bottom w:val="single" w:sz="4" w:space="0" w:color="auto"/>
              <w:right w:val="single" w:sz="4" w:space="0" w:color="auto"/>
            </w:tcBorders>
            <w:hideMark/>
          </w:tcPr>
          <w:p w14:paraId="6C276D37" w14:textId="77777777" w:rsidR="001726CE" w:rsidRPr="00D75CE5" w:rsidRDefault="001726CE" w:rsidP="002643B2">
            <w:pPr>
              <w:spacing w:before="240"/>
              <w:jc w:val="right"/>
              <w:rPr>
                <w:rFonts w:ascii="Arial" w:hAnsi="Arial" w:cs="Arial"/>
                <w:bCs/>
                <w:color w:val="000000"/>
                <w:szCs w:val="20"/>
                <w:highlight w:val="red"/>
              </w:rPr>
            </w:pPr>
            <w:r w:rsidRPr="00AB7E63">
              <w:rPr>
                <w:rFonts w:ascii="Arial" w:hAnsi="Arial" w:cs="Arial"/>
                <w:bCs/>
                <w:color w:val="000000"/>
                <w:szCs w:val="20"/>
              </w:rPr>
              <w:t>-7,627</w:t>
            </w:r>
            <w:r>
              <w:rPr>
                <w:rFonts w:ascii="Arial" w:hAnsi="Arial" w:cs="Arial"/>
                <w:bCs/>
                <w:color w:val="000000"/>
                <w:szCs w:val="20"/>
              </w:rPr>
              <w:t>4</w:t>
            </w:r>
          </w:p>
        </w:tc>
      </w:tr>
    </w:tbl>
    <w:p w14:paraId="6D7670FB" w14:textId="77777777" w:rsidR="001726CE" w:rsidRDefault="001726CE" w:rsidP="005711F5">
      <w:pPr>
        <w:pStyle w:val="Default"/>
        <w:jc w:val="both"/>
        <w:rPr>
          <w:rFonts w:ascii="Arial" w:hAnsi="Arial" w:cs="Arial"/>
          <w:sz w:val="20"/>
          <w:szCs w:val="20"/>
          <w:lang w:eastAsia="en-US"/>
        </w:rPr>
      </w:pPr>
    </w:p>
    <w:p w14:paraId="73D93FF9" w14:textId="77777777" w:rsidR="001726CE" w:rsidRDefault="001726CE" w:rsidP="005711F5">
      <w:pPr>
        <w:pStyle w:val="Default"/>
        <w:jc w:val="both"/>
        <w:rPr>
          <w:rFonts w:ascii="Arial" w:hAnsi="Arial" w:cs="Arial"/>
          <w:sz w:val="20"/>
          <w:szCs w:val="20"/>
          <w:lang w:eastAsia="en-US"/>
        </w:rPr>
      </w:pPr>
    </w:p>
    <w:p w14:paraId="707817C9" w14:textId="77777777" w:rsidR="001726CE" w:rsidRPr="00391EE9" w:rsidRDefault="001726CE" w:rsidP="005711F5">
      <w:pPr>
        <w:jc w:val="both"/>
        <w:rPr>
          <w:rFonts w:ascii="Arial" w:eastAsia="Times New Roman" w:hAnsi="Arial" w:cs="Arial"/>
          <w:b/>
          <w:bCs/>
          <w:szCs w:val="20"/>
          <w:lang w:eastAsia="cs-CZ"/>
        </w:rPr>
      </w:pPr>
      <w:r w:rsidRPr="00391EE9">
        <w:rPr>
          <w:rFonts w:ascii="Arial" w:eastAsia="Times New Roman" w:hAnsi="Arial" w:cs="Arial"/>
          <w:b/>
          <w:bCs/>
          <w:szCs w:val="20"/>
          <w:lang w:eastAsia="cs-CZ"/>
        </w:rPr>
        <w:t>2. Národní plán podpory návratu do škol: Stanovení dalších finančních prostředků pro základní školy, střední školy a konzervatoře na rok 2021 – (OON na doučování primárně potřebných žáků)</w:t>
      </w:r>
    </w:p>
    <w:p w14:paraId="4A355C40" w14:textId="77777777" w:rsidR="001726CE" w:rsidRPr="00391EE9" w:rsidRDefault="001726CE" w:rsidP="005711F5">
      <w:pPr>
        <w:jc w:val="both"/>
        <w:rPr>
          <w:rFonts w:ascii="Arial" w:eastAsia="Times New Roman" w:hAnsi="Arial" w:cs="Arial"/>
          <w:szCs w:val="20"/>
          <w:lang w:eastAsia="cs-CZ"/>
        </w:rPr>
      </w:pPr>
      <w:r w:rsidRPr="00391EE9">
        <w:rPr>
          <w:rFonts w:ascii="Arial" w:eastAsia="Times New Roman" w:hAnsi="Arial" w:cs="Arial"/>
          <w:szCs w:val="20"/>
          <w:lang w:eastAsia="cs-CZ"/>
        </w:rPr>
        <w:t xml:space="preserve">Dne 21. 6. 2021 zaslalo MŠMT dopis č. j.: MSMT-14025/2021-5, ve kterém MŠMT usiluje o podporu vzdělávání po pandemii. Finanční prostředky bude škola oprávněna použít primárně za účelem doučování potřebných žáků, sekundárně pak na adaptační a socializační aktivity pro širší kolektivy žáků a studentů. Doučovat mohou nejen pedagogičtí pracovníci daných škol, ale i další odborníci z řad veřejnosti, studenti vysokých škol, popř. dobrovolníci (po uzavření dohody o provedení práce nebo dohody o pracovní činnosti). </w:t>
      </w:r>
    </w:p>
    <w:p w14:paraId="7C20E22E" w14:textId="77777777" w:rsidR="001726CE" w:rsidRPr="00391EE9" w:rsidRDefault="001726CE" w:rsidP="005711F5">
      <w:pPr>
        <w:jc w:val="both"/>
        <w:rPr>
          <w:rFonts w:ascii="Arial" w:eastAsia="Times New Roman" w:hAnsi="Arial" w:cs="Arial"/>
          <w:b/>
          <w:bCs/>
          <w:szCs w:val="20"/>
          <w:lang w:eastAsia="cs-CZ"/>
        </w:rPr>
      </w:pPr>
      <w:r w:rsidRPr="00391EE9">
        <w:rPr>
          <w:rFonts w:ascii="Arial" w:eastAsia="Times New Roman" w:hAnsi="Arial" w:cs="Arial"/>
          <w:b/>
          <w:bCs/>
          <w:szCs w:val="20"/>
          <w:lang w:eastAsia="cs-CZ"/>
        </w:rPr>
        <w:t xml:space="preserve">Podmínky, kritéria a účel těchto dalších finančních prostředků jsou zveřejněny ve Věstníku MŠMT 04/2021 zde: </w:t>
      </w:r>
      <w:r w:rsidRPr="00391EE9">
        <w:rPr>
          <w:rFonts w:ascii="Arial" w:eastAsia="Times New Roman" w:hAnsi="Arial" w:cs="Arial"/>
          <w:b/>
          <w:bCs/>
          <w:szCs w:val="20"/>
          <w:lang w:eastAsia="cs-CZ"/>
        </w:rPr>
        <w:fldChar w:fldCharType="begin"/>
      </w:r>
      <w:r w:rsidRPr="00391EE9">
        <w:rPr>
          <w:rFonts w:ascii="Arial" w:eastAsia="Times New Roman" w:hAnsi="Arial" w:cs="Arial"/>
          <w:b/>
          <w:bCs/>
          <w:szCs w:val="20"/>
          <w:lang w:eastAsia="cs-CZ"/>
        </w:rPr>
        <w:instrText xml:space="preserve"> HYPERLINK "https://www.msmt.cz/dokumenty-3/vestnik-msmt-04-2021" </w:instrText>
      </w:r>
      <w:r w:rsidRPr="00391EE9">
        <w:rPr>
          <w:rFonts w:ascii="Arial" w:eastAsia="Times New Roman" w:hAnsi="Arial" w:cs="Arial"/>
          <w:b/>
          <w:bCs/>
          <w:szCs w:val="20"/>
          <w:lang w:eastAsia="cs-CZ"/>
        </w:rPr>
        <w:fldChar w:fldCharType="separate"/>
      </w:r>
      <w:r w:rsidRPr="00391EE9">
        <w:rPr>
          <w:rStyle w:val="Hypertextovodkaz"/>
          <w:rFonts w:ascii="Arial" w:eastAsia="Times New Roman" w:hAnsi="Arial" w:cs="Arial"/>
          <w:b/>
          <w:bCs/>
          <w:szCs w:val="20"/>
          <w:lang w:eastAsia="cs-CZ"/>
        </w:rPr>
        <w:t>https://www.msmt.cz/dokumenty-3/vestnik-msmt-04-2021</w:t>
      </w:r>
      <w:r w:rsidRPr="00391EE9">
        <w:rPr>
          <w:rFonts w:ascii="Arial" w:eastAsia="Times New Roman" w:hAnsi="Arial" w:cs="Arial"/>
          <w:b/>
          <w:bCs/>
          <w:szCs w:val="20"/>
          <w:lang w:eastAsia="cs-CZ"/>
        </w:rPr>
        <w:fldChar w:fldCharType="end"/>
      </w:r>
    </w:p>
    <w:p w14:paraId="1492043C" w14:textId="77777777" w:rsidR="001726CE" w:rsidRDefault="001726CE" w:rsidP="005711F5">
      <w:pPr>
        <w:pStyle w:val="Default"/>
        <w:jc w:val="both"/>
        <w:rPr>
          <w:rFonts w:ascii="Arial" w:hAnsi="Arial" w:cs="Arial"/>
          <w:sz w:val="20"/>
          <w:szCs w:val="20"/>
          <w:lang w:eastAsia="en-US"/>
        </w:rPr>
      </w:pPr>
      <w:r>
        <w:rPr>
          <w:rFonts w:ascii="Arial" w:hAnsi="Arial" w:cs="Arial"/>
          <w:sz w:val="20"/>
          <w:szCs w:val="20"/>
          <w:lang w:eastAsia="en-US"/>
        </w:rPr>
        <w:t>Krajský úřad postupuje při úpravách závazných i orientačních ukazatelů dle čl. X směrnice.</w:t>
      </w:r>
    </w:p>
    <w:p w14:paraId="40B93FA6" w14:textId="77777777" w:rsidR="001726CE" w:rsidRDefault="001726CE" w:rsidP="005711F5">
      <w:pPr>
        <w:pStyle w:val="Default"/>
        <w:jc w:val="both"/>
        <w:rPr>
          <w:rFonts w:ascii="Arial" w:hAnsi="Arial" w:cs="Arial"/>
          <w:sz w:val="20"/>
          <w:szCs w:val="20"/>
          <w:lang w:eastAsia="en-US"/>
        </w:rPr>
      </w:pPr>
    </w:p>
    <w:p w14:paraId="1DCB9295" w14:textId="77777777" w:rsidR="001726CE" w:rsidRDefault="001726CE" w:rsidP="005711F5">
      <w:pPr>
        <w:pStyle w:val="KUJKnormal"/>
        <w:rPr>
          <w:rFonts w:cs="Arial"/>
          <w:b/>
          <w:color w:val="000000"/>
          <w:szCs w:val="20"/>
        </w:rPr>
      </w:pPr>
      <w:r>
        <w:rPr>
          <w:rFonts w:cs="Arial"/>
          <w:b/>
          <w:color w:val="000000"/>
          <w:szCs w:val="20"/>
        </w:rPr>
        <w:t xml:space="preserve">3. Úpravy na návrhy obcí s rozšířenou působnostní a krajského úřadu </w:t>
      </w:r>
    </w:p>
    <w:p w14:paraId="25C3185A" w14:textId="77777777" w:rsidR="001726CE" w:rsidRDefault="001726CE" w:rsidP="005711F5">
      <w:pPr>
        <w:pStyle w:val="Default"/>
        <w:jc w:val="both"/>
        <w:rPr>
          <w:rFonts w:ascii="Arial" w:hAnsi="Arial" w:cs="Arial"/>
          <w:sz w:val="20"/>
          <w:szCs w:val="20"/>
          <w:lang w:eastAsia="en-US"/>
        </w:rPr>
      </w:pPr>
      <w:r>
        <w:rPr>
          <w:rFonts w:ascii="Arial" w:hAnsi="Arial" w:cs="Arial"/>
          <w:color w:val="auto"/>
          <w:sz w:val="20"/>
          <w:szCs w:val="20"/>
          <w:lang w:eastAsia="en-US"/>
        </w:rPr>
        <w:t>Dle čl. VIII  směrnice,</w:t>
      </w:r>
      <w:r>
        <w:rPr>
          <w:rFonts w:ascii="Arial" w:hAnsi="Arial" w:cs="Arial"/>
          <w:sz w:val="20"/>
          <w:szCs w:val="20"/>
          <w:lang w:eastAsia="en-US"/>
        </w:rPr>
        <w:t xml:space="preserve"> ve kterém se mimo jiné uvádí, že na návrh právnické osoby zřizované obcí, svazkem obcí nebo krajem, která považuje rozpis přímých výdajů za nepostačující k zajištění nezbytných potřeb vyplývajících z právních předpisů a rámcových vzdělávacích programů, popřípadě schválených učebních dokumentů, projedná obecní úřad obce s rozšířenou působností nebo krajský úřad s touto právnickou osobou podklady předložené právnickou osobou obecnímu úřadu obce s rozšířenou působností nebo krajskému úřadu v termínech stanovených krajským úřadem. Termíny projednání byly zveřejněny na webových stránkách krajského úřadu dne 26. 2. 2021. </w:t>
      </w:r>
    </w:p>
    <w:p w14:paraId="4889ED57" w14:textId="77777777" w:rsidR="001726CE" w:rsidRDefault="001726CE" w:rsidP="005711F5">
      <w:pPr>
        <w:pStyle w:val="Default"/>
        <w:jc w:val="both"/>
        <w:rPr>
          <w:rFonts w:ascii="Arial" w:hAnsi="Arial" w:cs="Arial"/>
          <w:sz w:val="20"/>
          <w:szCs w:val="20"/>
          <w:lang w:eastAsia="en-US"/>
        </w:rPr>
      </w:pPr>
    </w:p>
    <w:p w14:paraId="6E6308BB" w14:textId="77777777" w:rsidR="001726CE" w:rsidRDefault="001726CE" w:rsidP="005711F5">
      <w:pPr>
        <w:pStyle w:val="Default"/>
        <w:jc w:val="both"/>
        <w:rPr>
          <w:rFonts w:ascii="Arial" w:hAnsi="Arial" w:cs="Arial"/>
          <w:sz w:val="20"/>
          <w:szCs w:val="20"/>
          <w:lang w:eastAsia="en-US"/>
        </w:rPr>
      </w:pPr>
      <w:r>
        <w:rPr>
          <w:rFonts w:ascii="Arial" w:hAnsi="Arial" w:cs="Arial"/>
          <w:sz w:val="20"/>
          <w:szCs w:val="20"/>
          <w:lang w:eastAsia="en-US"/>
        </w:rPr>
        <w:t>V této úpravě se např. jedná o financování mateřských škol z přímých výdajů ze státního rozpočtu po rozdělení MŠ Strakonice, Lidická 625 na 4 organizace. Nástupnickou MŠ Strakonice, Lidická 625, MŠ Školní Strakonice, MŠ Holečkova Strakonice, MŠ Spojařů Strakonice od 1. 9. 2021, kterým musí být přiznán rozpočet, který je určen jako zbytkový podíl (z rozpočtu původní organizace) na období</w:t>
      </w:r>
      <w:r>
        <w:rPr>
          <w:rFonts w:ascii="Arial" w:hAnsi="Arial" w:cs="Arial"/>
          <w:sz w:val="20"/>
          <w:szCs w:val="20"/>
          <w:lang w:eastAsia="en-US"/>
        </w:rPr>
        <w:br/>
        <w:t xml:space="preserve">1. 9. až 31. 12. 2021) dle přepočtených úvazků na návrh škol a příslušné obce s rozšířenou působností (Strakonice). </w:t>
      </w:r>
    </w:p>
    <w:p w14:paraId="6852DDE0" w14:textId="77777777" w:rsidR="001726CE" w:rsidRDefault="001726CE" w:rsidP="005711F5">
      <w:pPr>
        <w:pStyle w:val="Default"/>
        <w:jc w:val="both"/>
        <w:rPr>
          <w:rFonts w:ascii="Arial" w:hAnsi="Arial" w:cs="Arial"/>
          <w:sz w:val="20"/>
          <w:szCs w:val="20"/>
          <w:lang w:eastAsia="en-US"/>
        </w:rPr>
      </w:pPr>
    </w:p>
    <w:p w14:paraId="4E16C29A" w14:textId="77777777" w:rsidR="001726CE" w:rsidRDefault="001726CE" w:rsidP="005711F5">
      <w:pPr>
        <w:pStyle w:val="Default"/>
        <w:jc w:val="both"/>
        <w:rPr>
          <w:rFonts w:ascii="Arial" w:hAnsi="Arial" w:cs="Arial"/>
          <w:sz w:val="20"/>
          <w:szCs w:val="20"/>
          <w:lang w:eastAsia="en-US"/>
        </w:rPr>
      </w:pPr>
      <w:r>
        <w:rPr>
          <w:rFonts w:ascii="Arial" w:hAnsi="Arial" w:cs="Arial"/>
          <w:sz w:val="20"/>
          <w:szCs w:val="20"/>
          <w:lang w:eastAsia="en-US"/>
        </w:rPr>
        <w:t>Dále se jedná o proplacení mzdových i provozních výdajů spojených s mimořádným termínem didaktických testů státní části maturitní zkoušky v termínu od 7. do 9. července 2021. K tomuto přišel pokyn z MŠMT</w:t>
      </w:r>
      <w:r>
        <w:rPr>
          <w:rFonts w:ascii="Arial" w:hAnsi="Arial" w:cs="Arial"/>
          <w:sz w:val="20"/>
          <w:szCs w:val="20"/>
          <w:lang w:eastAsia="en-US"/>
        </w:rPr>
        <w:br/>
        <w:t xml:space="preserve">č. j.: MSMT-18454/2021-3 ze dne 22. 7. 2021, ve kterém je uvedeno i konkrétní vyčíslení přímých výdajů vč. ONIV za jednotlivé subjekty. V Jihočeském kraji se jedná o 8 škol a částku NIV celkem 438 932 Kč. </w:t>
      </w:r>
    </w:p>
    <w:p w14:paraId="5A345AD2" w14:textId="77777777" w:rsidR="001726CE" w:rsidRDefault="001726CE" w:rsidP="005711F5">
      <w:pPr>
        <w:pStyle w:val="Default"/>
        <w:jc w:val="both"/>
        <w:rPr>
          <w:rFonts w:ascii="Arial" w:hAnsi="Arial" w:cs="Arial"/>
          <w:sz w:val="20"/>
          <w:szCs w:val="20"/>
          <w:lang w:eastAsia="en-US"/>
        </w:rPr>
      </w:pPr>
    </w:p>
    <w:p w14:paraId="258D1211" w14:textId="77777777" w:rsidR="001726CE" w:rsidRDefault="001726CE" w:rsidP="005711F5">
      <w:pPr>
        <w:pStyle w:val="Default"/>
        <w:jc w:val="both"/>
        <w:rPr>
          <w:rFonts w:ascii="Arial" w:hAnsi="Arial" w:cs="Arial"/>
          <w:sz w:val="20"/>
          <w:szCs w:val="20"/>
          <w:lang w:eastAsia="en-US"/>
        </w:rPr>
      </w:pPr>
    </w:p>
    <w:p w14:paraId="2FFADF9B" w14:textId="77777777" w:rsidR="001726CE" w:rsidRDefault="001726CE" w:rsidP="005711F5">
      <w:pPr>
        <w:pStyle w:val="Default"/>
        <w:jc w:val="both"/>
        <w:rPr>
          <w:rFonts w:ascii="Arial" w:hAnsi="Arial" w:cs="Arial"/>
          <w:sz w:val="20"/>
          <w:szCs w:val="20"/>
          <w:lang w:eastAsia="en-US"/>
        </w:rPr>
      </w:pPr>
    </w:p>
    <w:p w14:paraId="46611772" w14:textId="77777777" w:rsidR="001726CE" w:rsidRDefault="001726CE" w:rsidP="005711F5">
      <w:pPr>
        <w:pStyle w:val="Default"/>
        <w:jc w:val="both"/>
        <w:rPr>
          <w:rFonts w:ascii="Arial" w:hAnsi="Arial" w:cs="Arial"/>
          <w:sz w:val="20"/>
          <w:szCs w:val="20"/>
          <w:lang w:eastAsia="en-US"/>
        </w:rPr>
      </w:pPr>
    </w:p>
    <w:p w14:paraId="15CD5DF6" w14:textId="77777777" w:rsidR="001726CE" w:rsidRDefault="001726CE" w:rsidP="005711F5">
      <w:pPr>
        <w:pStyle w:val="Default"/>
        <w:jc w:val="both"/>
        <w:rPr>
          <w:rFonts w:ascii="Arial" w:hAnsi="Arial" w:cs="Arial"/>
          <w:sz w:val="20"/>
          <w:szCs w:val="20"/>
          <w:lang w:eastAsia="en-US"/>
        </w:rPr>
      </w:pPr>
    </w:p>
    <w:p w14:paraId="029A6F47" w14:textId="77777777" w:rsidR="001726CE" w:rsidRDefault="001726CE" w:rsidP="005711F5">
      <w:pPr>
        <w:pStyle w:val="Default"/>
        <w:jc w:val="both"/>
        <w:rPr>
          <w:rFonts w:ascii="Arial" w:hAnsi="Arial" w:cs="Arial"/>
          <w:sz w:val="20"/>
          <w:szCs w:val="20"/>
          <w:lang w:eastAsia="en-US"/>
        </w:rPr>
      </w:pPr>
    </w:p>
    <w:p w14:paraId="79ABA026" w14:textId="77777777" w:rsidR="001726CE" w:rsidRDefault="001726CE" w:rsidP="005711F5">
      <w:pPr>
        <w:pStyle w:val="Default"/>
        <w:jc w:val="both"/>
        <w:rPr>
          <w:rFonts w:ascii="Arial" w:hAnsi="Arial" w:cs="Arial"/>
          <w:sz w:val="20"/>
          <w:szCs w:val="20"/>
          <w:lang w:eastAsia="en-US"/>
        </w:rPr>
      </w:pPr>
    </w:p>
    <w:p w14:paraId="482BDC33" w14:textId="77777777" w:rsidR="001726CE" w:rsidRDefault="001726CE" w:rsidP="005711F5">
      <w:pPr>
        <w:pStyle w:val="Default"/>
        <w:jc w:val="both"/>
        <w:rPr>
          <w:rFonts w:ascii="Arial" w:hAnsi="Arial" w:cs="Arial"/>
          <w:sz w:val="20"/>
          <w:szCs w:val="20"/>
          <w:lang w:eastAsia="en-US"/>
        </w:rPr>
      </w:pPr>
    </w:p>
    <w:p w14:paraId="55AB6DD0" w14:textId="77777777" w:rsidR="001726CE" w:rsidRDefault="001726CE" w:rsidP="005711F5">
      <w:pPr>
        <w:pStyle w:val="Default"/>
        <w:jc w:val="both"/>
        <w:rPr>
          <w:rFonts w:ascii="Arial" w:hAnsi="Arial" w:cs="Arial"/>
          <w:sz w:val="20"/>
          <w:szCs w:val="20"/>
          <w:lang w:eastAsia="en-US"/>
        </w:rPr>
      </w:pPr>
    </w:p>
    <w:p w14:paraId="2CA0A3DF" w14:textId="77777777" w:rsidR="001726CE" w:rsidRDefault="001726CE" w:rsidP="005711F5">
      <w:pPr>
        <w:pStyle w:val="Default"/>
        <w:jc w:val="both"/>
        <w:rPr>
          <w:rFonts w:ascii="Arial" w:hAnsi="Arial" w:cs="Arial"/>
          <w:sz w:val="20"/>
          <w:szCs w:val="20"/>
          <w:lang w:eastAsia="en-US"/>
        </w:rPr>
      </w:pPr>
    </w:p>
    <w:p w14:paraId="29BB7DA7" w14:textId="77777777" w:rsidR="001726CE" w:rsidRDefault="001726CE" w:rsidP="005711F5">
      <w:pPr>
        <w:pStyle w:val="Default"/>
        <w:jc w:val="both"/>
        <w:rPr>
          <w:rFonts w:ascii="Arial" w:hAnsi="Arial" w:cs="Arial"/>
          <w:sz w:val="20"/>
          <w:szCs w:val="20"/>
          <w:lang w:eastAsia="en-US"/>
        </w:rPr>
      </w:pPr>
    </w:p>
    <w:p w14:paraId="18D028C4" w14:textId="77777777" w:rsidR="001726CE" w:rsidRDefault="001726CE" w:rsidP="005711F5">
      <w:pPr>
        <w:pStyle w:val="Default"/>
        <w:jc w:val="both"/>
        <w:rPr>
          <w:rFonts w:ascii="Arial" w:hAnsi="Arial" w:cs="Arial"/>
          <w:sz w:val="20"/>
          <w:szCs w:val="20"/>
          <w:lang w:eastAsia="en-US"/>
        </w:rPr>
      </w:pPr>
    </w:p>
    <w:p w14:paraId="04B8AA6B" w14:textId="77777777" w:rsidR="001726CE" w:rsidRDefault="001726CE" w:rsidP="005711F5">
      <w:pPr>
        <w:pStyle w:val="Default"/>
        <w:jc w:val="both"/>
        <w:rPr>
          <w:rFonts w:ascii="Arial" w:hAnsi="Arial" w:cs="Arial"/>
          <w:sz w:val="20"/>
          <w:szCs w:val="20"/>
          <w:lang w:eastAsia="en-US"/>
        </w:rPr>
      </w:pPr>
    </w:p>
    <w:p w14:paraId="3B6E7BBA" w14:textId="77777777" w:rsidR="001726CE" w:rsidRDefault="001726CE" w:rsidP="005711F5">
      <w:pPr>
        <w:pStyle w:val="Default"/>
        <w:jc w:val="both"/>
        <w:rPr>
          <w:rFonts w:ascii="Arial" w:hAnsi="Arial" w:cs="Arial"/>
          <w:sz w:val="20"/>
          <w:szCs w:val="20"/>
          <w:lang w:eastAsia="en-US"/>
        </w:rPr>
      </w:pPr>
    </w:p>
    <w:p w14:paraId="188D5288" w14:textId="77777777" w:rsidR="001726CE" w:rsidRDefault="001726CE" w:rsidP="005711F5">
      <w:pPr>
        <w:jc w:val="both"/>
        <w:rPr>
          <w:rFonts w:ascii="Arial" w:hAnsi="Arial" w:cs="Arial"/>
          <w:color w:val="000000"/>
          <w:szCs w:val="20"/>
        </w:rPr>
      </w:pPr>
    </w:p>
    <w:p w14:paraId="00A3FB95" w14:textId="77777777" w:rsidR="001726CE" w:rsidRDefault="001726CE" w:rsidP="005711F5">
      <w:pPr>
        <w:jc w:val="both"/>
        <w:rPr>
          <w:rFonts w:ascii="Arial" w:hAnsi="Arial" w:cs="Arial"/>
          <w:color w:val="000000"/>
          <w:szCs w:val="20"/>
        </w:rPr>
      </w:pPr>
    </w:p>
    <w:p w14:paraId="2DF7443E" w14:textId="77777777" w:rsidR="001726CE" w:rsidRDefault="001726CE" w:rsidP="005711F5">
      <w:pPr>
        <w:jc w:val="both"/>
        <w:rPr>
          <w:rFonts w:ascii="Arial" w:hAnsi="Arial" w:cs="Arial"/>
          <w:color w:val="000000"/>
          <w:szCs w:val="20"/>
        </w:rPr>
      </w:pPr>
      <w:r>
        <w:rPr>
          <w:rFonts w:ascii="Arial" w:hAnsi="Arial" w:cs="Arial"/>
          <w:color w:val="000000"/>
          <w:szCs w:val="20"/>
        </w:rPr>
        <w:t>Tab. 2 – Rozpis rozpočtu přímých výdajů regionálního školství v Jihočeském kraji k 25. 8. 2021</w:t>
      </w:r>
    </w:p>
    <w:tbl>
      <w:tblPr>
        <w:tblW w:w="9210" w:type="dxa"/>
        <w:tblInd w:w="70" w:type="dxa"/>
        <w:tblLayout w:type="fixed"/>
        <w:tblCellMar>
          <w:left w:w="70" w:type="dxa"/>
          <w:right w:w="70" w:type="dxa"/>
        </w:tblCellMar>
        <w:tblLook w:val="04A0" w:firstRow="1" w:lastRow="0" w:firstColumn="1" w:lastColumn="0" w:noHBand="0" w:noVBand="1"/>
      </w:tblPr>
      <w:tblGrid>
        <w:gridCol w:w="2553"/>
        <w:gridCol w:w="2268"/>
        <w:gridCol w:w="2264"/>
        <w:gridCol w:w="2125"/>
      </w:tblGrid>
      <w:tr w:rsidR="001726CE" w14:paraId="7E65A5AE" w14:textId="77777777" w:rsidTr="002643B2">
        <w:trPr>
          <w:trHeight w:val="318"/>
        </w:trPr>
        <w:tc>
          <w:tcPr>
            <w:tcW w:w="2553" w:type="dxa"/>
            <w:tcBorders>
              <w:top w:val="nil"/>
              <w:left w:val="nil"/>
              <w:bottom w:val="single" w:sz="8" w:space="0" w:color="auto"/>
              <w:right w:val="single" w:sz="8" w:space="0" w:color="auto"/>
            </w:tcBorders>
            <w:noWrap/>
            <w:vAlign w:val="bottom"/>
            <w:hideMark/>
          </w:tcPr>
          <w:p w14:paraId="0201D273"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 </w:t>
            </w:r>
          </w:p>
        </w:tc>
        <w:tc>
          <w:tcPr>
            <w:tcW w:w="6657" w:type="dxa"/>
            <w:gridSpan w:val="3"/>
            <w:tcBorders>
              <w:top w:val="single" w:sz="8" w:space="0" w:color="auto"/>
              <w:left w:val="nil"/>
              <w:bottom w:val="single" w:sz="8" w:space="0" w:color="auto"/>
              <w:right w:val="single" w:sz="8" w:space="0" w:color="000000"/>
            </w:tcBorders>
            <w:noWrap/>
            <w:vAlign w:val="bottom"/>
            <w:hideMark/>
          </w:tcPr>
          <w:p w14:paraId="1AF32F2E"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Závazný ukazatel</w:t>
            </w:r>
          </w:p>
        </w:tc>
      </w:tr>
      <w:tr w:rsidR="001726CE" w14:paraId="7BAEEE75" w14:textId="77777777" w:rsidTr="002643B2">
        <w:trPr>
          <w:trHeight w:val="318"/>
        </w:trPr>
        <w:tc>
          <w:tcPr>
            <w:tcW w:w="2553" w:type="dxa"/>
            <w:vMerge w:val="restart"/>
            <w:tcBorders>
              <w:top w:val="nil"/>
              <w:left w:val="single" w:sz="8" w:space="0" w:color="auto"/>
              <w:bottom w:val="single" w:sz="8" w:space="0" w:color="000000"/>
              <w:right w:val="single" w:sz="8" w:space="0" w:color="auto"/>
            </w:tcBorders>
            <w:noWrap/>
            <w:vAlign w:val="bottom"/>
            <w:hideMark/>
          </w:tcPr>
          <w:p w14:paraId="1C91F29F"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Zřizovatel</w:t>
            </w:r>
          </w:p>
        </w:tc>
        <w:tc>
          <w:tcPr>
            <w:tcW w:w="2268" w:type="dxa"/>
            <w:tcBorders>
              <w:top w:val="nil"/>
              <w:left w:val="nil"/>
              <w:bottom w:val="nil"/>
              <w:right w:val="single" w:sz="8" w:space="0" w:color="auto"/>
            </w:tcBorders>
            <w:noWrap/>
            <w:vAlign w:val="bottom"/>
            <w:hideMark/>
          </w:tcPr>
          <w:p w14:paraId="261576EF"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NIV</w:t>
            </w:r>
          </w:p>
        </w:tc>
        <w:tc>
          <w:tcPr>
            <w:tcW w:w="4389" w:type="dxa"/>
            <w:gridSpan w:val="2"/>
            <w:tcBorders>
              <w:top w:val="single" w:sz="8" w:space="0" w:color="auto"/>
              <w:left w:val="nil"/>
              <w:bottom w:val="nil"/>
              <w:right w:val="single" w:sz="8" w:space="0" w:color="000000"/>
            </w:tcBorders>
            <w:noWrap/>
            <w:vAlign w:val="bottom"/>
            <w:hideMark/>
          </w:tcPr>
          <w:p w14:paraId="20807901"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MP</w:t>
            </w:r>
          </w:p>
        </w:tc>
      </w:tr>
      <w:tr w:rsidR="001726CE" w14:paraId="45836CC7" w14:textId="77777777" w:rsidTr="002643B2">
        <w:trPr>
          <w:trHeight w:val="303"/>
        </w:trPr>
        <w:tc>
          <w:tcPr>
            <w:tcW w:w="2553" w:type="dxa"/>
            <w:vMerge/>
            <w:tcBorders>
              <w:top w:val="nil"/>
              <w:left w:val="single" w:sz="8" w:space="0" w:color="auto"/>
              <w:bottom w:val="single" w:sz="8" w:space="0" w:color="000000"/>
              <w:right w:val="single" w:sz="8" w:space="0" w:color="auto"/>
            </w:tcBorders>
            <w:vAlign w:val="center"/>
            <w:hideMark/>
          </w:tcPr>
          <w:p w14:paraId="00FEE935" w14:textId="77777777" w:rsidR="001726CE" w:rsidRDefault="001726CE" w:rsidP="002643B2">
            <w:pPr>
              <w:rPr>
                <w:rFonts w:ascii="Arial" w:hAnsi="Arial" w:cs="Arial"/>
                <w:b/>
                <w:bCs/>
                <w:color w:val="000000"/>
                <w:sz w:val="18"/>
                <w:szCs w:val="18"/>
              </w:rPr>
            </w:pPr>
          </w:p>
        </w:tc>
        <w:tc>
          <w:tcPr>
            <w:tcW w:w="2268" w:type="dxa"/>
            <w:vMerge w:val="restart"/>
            <w:tcBorders>
              <w:top w:val="single" w:sz="8" w:space="0" w:color="auto"/>
              <w:left w:val="single" w:sz="8" w:space="0" w:color="auto"/>
              <w:bottom w:val="single" w:sz="8" w:space="0" w:color="000000"/>
              <w:right w:val="single" w:sz="8" w:space="0" w:color="auto"/>
            </w:tcBorders>
            <w:noWrap/>
            <w:vAlign w:val="bottom"/>
            <w:hideMark/>
          </w:tcPr>
          <w:p w14:paraId="4E453C8B"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celkem</w:t>
            </w:r>
          </w:p>
        </w:tc>
        <w:tc>
          <w:tcPr>
            <w:tcW w:w="2264" w:type="dxa"/>
            <w:tcBorders>
              <w:top w:val="single" w:sz="8" w:space="0" w:color="auto"/>
              <w:left w:val="nil"/>
              <w:bottom w:val="nil"/>
              <w:right w:val="single" w:sz="8" w:space="0" w:color="auto"/>
            </w:tcBorders>
            <w:noWrap/>
            <w:vAlign w:val="bottom"/>
            <w:hideMark/>
          </w:tcPr>
          <w:p w14:paraId="5130735E"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 </w:t>
            </w:r>
          </w:p>
        </w:tc>
        <w:tc>
          <w:tcPr>
            <w:tcW w:w="2125" w:type="dxa"/>
            <w:tcBorders>
              <w:top w:val="single" w:sz="8" w:space="0" w:color="auto"/>
              <w:left w:val="nil"/>
              <w:bottom w:val="nil"/>
              <w:right w:val="single" w:sz="8" w:space="0" w:color="auto"/>
            </w:tcBorders>
            <w:noWrap/>
            <w:vAlign w:val="bottom"/>
            <w:hideMark/>
          </w:tcPr>
          <w:p w14:paraId="4AC6BE68"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 </w:t>
            </w:r>
          </w:p>
        </w:tc>
      </w:tr>
      <w:tr w:rsidR="001726CE" w14:paraId="345FD3E2" w14:textId="77777777" w:rsidTr="002643B2">
        <w:trPr>
          <w:trHeight w:val="318"/>
        </w:trPr>
        <w:tc>
          <w:tcPr>
            <w:tcW w:w="2553" w:type="dxa"/>
            <w:vMerge/>
            <w:tcBorders>
              <w:top w:val="nil"/>
              <w:left w:val="single" w:sz="8" w:space="0" w:color="auto"/>
              <w:bottom w:val="single" w:sz="8" w:space="0" w:color="000000"/>
              <w:right w:val="single" w:sz="8" w:space="0" w:color="auto"/>
            </w:tcBorders>
            <w:vAlign w:val="center"/>
            <w:hideMark/>
          </w:tcPr>
          <w:p w14:paraId="5DF0F5B1" w14:textId="77777777" w:rsidR="001726CE" w:rsidRDefault="001726CE" w:rsidP="002643B2">
            <w:pPr>
              <w:rPr>
                <w:rFonts w:ascii="Arial" w:hAnsi="Arial" w:cs="Arial"/>
                <w:b/>
                <w:bCs/>
                <w:color w:val="000000"/>
                <w:sz w:val="18"/>
                <w:szCs w:val="18"/>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00E7A9F" w14:textId="77777777" w:rsidR="001726CE" w:rsidRDefault="001726CE" w:rsidP="002643B2">
            <w:pPr>
              <w:rPr>
                <w:rFonts w:ascii="Arial" w:hAnsi="Arial" w:cs="Arial"/>
                <w:b/>
                <w:bCs/>
                <w:color w:val="000000"/>
                <w:sz w:val="18"/>
                <w:szCs w:val="18"/>
              </w:rPr>
            </w:pPr>
          </w:p>
        </w:tc>
        <w:tc>
          <w:tcPr>
            <w:tcW w:w="2264" w:type="dxa"/>
            <w:tcBorders>
              <w:top w:val="nil"/>
              <w:left w:val="nil"/>
              <w:bottom w:val="single" w:sz="8" w:space="0" w:color="auto"/>
              <w:right w:val="single" w:sz="8" w:space="0" w:color="auto"/>
            </w:tcBorders>
            <w:noWrap/>
            <w:vAlign w:val="bottom"/>
            <w:hideMark/>
          </w:tcPr>
          <w:p w14:paraId="4682C7C7"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platy</w:t>
            </w:r>
          </w:p>
        </w:tc>
        <w:tc>
          <w:tcPr>
            <w:tcW w:w="2125" w:type="dxa"/>
            <w:tcBorders>
              <w:top w:val="nil"/>
              <w:left w:val="nil"/>
              <w:bottom w:val="single" w:sz="8" w:space="0" w:color="auto"/>
              <w:right w:val="single" w:sz="8" w:space="0" w:color="auto"/>
            </w:tcBorders>
            <w:noWrap/>
            <w:vAlign w:val="bottom"/>
            <w:hideMark/>
          </w:tcPr>
          <w:p w14:paraId="223708F8"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OON</w:t>
            </w:r>
          </w:p>
        </w:tc>
      </w:tr>
      <w:tr w:rsidR="001726CE" w14:paraId="0EA5004D" w14:textId="77777777" w:rsidTr="002643B2">
        <w:trPr>
          <w:trHeight w:val="318"/>
        </w:trPr>
        <w:tc>
          <w:tcPr>
            <w:tcW w:w="2553" w:type="dxa"/>
            <w:vMerge/>
            <w:tcBorders>
              <w:top w:val="nil"/>
              <w:left w:val="single" w:sz="8" w:space="0" w:color="auto"/>
              <w:bottom w:val="single" w:sz="8" w:space="0" w:color="000000"/>
              <w:right w:val="single" w:sz="8" w:space="0" w:color="auto"/>
            </w:tcBorders>
            <w:vAlign w:val="center"/>
            <w:hideMark/>
          </w:tcPr>
          <w:p w14:paraId="5B504B02" w14:textId="77777777" w:rsidR="001726CE" w:rsidRDefault="001726CE" w:rsidP="002643B2">
            <w:pPr>
              <w:rPr>
                <w:rFonts w:ascii="Arial" w:hAnsi="Arial" w:cs="Arial"/>
                <w:b/>
                <w:bCs/>
                <w:color w:val="000000"/>
                <w:sz w:val="18"/>
                <w:szCs w:val="18"/>
              </w:rPr>
            </w:pPr>
          </w:p>
        </w:tc>
        <w:tc>
          <w:tcPr>
            <w:tcW w:w="2268" w:type="dxa"/>
            <w:tcBorders>
              <w:top w:val="nil"/>
              <w:left w:val="nil"/>
              <w:bottom w:val="single" w:sz="8" w:space="0" w:color="auto"/>
              <w:right w:val="single" w:sz="8" w:space="0" w:color="auto"/>
            </w:tcBorders>
            <w:noWrap/>
            <w:vAlign w:val="bottom"/>
            <w:hideMark/>
          </w:tcPr>
          <w:p w14:paraId="325A77A0"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v Kč</w:t>
            </w:r>
          </w:p>
        </w:tc>
        <w:tc>
          <w:tcPr>
            <w:tcW w:w="2264" w:type="dxa"/>
            <w:tcBorders>
              <w:top w:val="nil"/>
              <w:left w:val="nil"/>
              <w:bottom w:val="single" w:sz="8" w:space="0" w:color="auto"/>
              <w:right w:val="single" w:sz="8" w:space="0" w:color="auto"/>
            </w:tcBorders>
            <w:noWrap/>
            <w:vAlign w:val="bottom"/>
            <w:hideMark/>
          </w:tcPr>
          <w:p w14:paraId="53ABFE2E"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v Kč</w:t>
            </w:r>
          </w:p>
        </w:tc>
        <w:tc>
          <w:tcPr>
            <w:tcW w:w="2125" w:type="dxa"/>
            <w:tcBorders>
              <w:top w:val="nil"/>
              <w:left w:val="nil"/>
              <w:bottom w:val="single" w:sz="8" w:space="0" w:color="auto"/>
              <w:right w:val="single" w:sz="8" w:space="0" w:color="auto"/>
            </w:tcBorders>
            <w:noWrap/>
            <w:vAlign w:val="bottom"/>
            <w:hideMark/>
          </w:tcPr>
          <w:p w14:paraId="08430860" w14:textId="77777777" w:rsidR="001726CE" w:rsidRDefault="001726CE" w:rsidP="002643B2">
            <w:pPr>
              <w:jc w:val="center"/>
              <w:rPr>
                <w:rFonts w:ascii="Arial" w:hAnsi="Arial" w:cs="Arial"/>
                <w:b/>
                <w:bCs/>
                <w:color w:val="000000"/>
                <w:sz w:val="18"/>
                <w:szCs w:val="18"/>
              </w:rPr>
            </w:pPr>
            <w:r>
              <w:rPr>
                <w:rFonts w:ascii="Arial" w:hAnsi="Arial" w:cs="Arial"/>
                <w:b/>
                <w:bCs/>
                <w:color w:val="000000"/>
                <w:sz w:val="18"/>
                <w:szCs w:val="18"/>
              </w:rPr>
              <w:t>v Kč</w:t>
            </w:r>
          </w:p>
        </w:tc>
      </w:tr>
      <w:tr w:rsidR="001726CE" w14:paraId="1ABABBC9" w14:textId="77777777" w:rsidTr="002643B2">
        <w:trPr>
          <w:trHeight w:val="333"/>
        </w:trPr>
        <w:tc>
          <w:tcPr>
            <w:tcW w:w="2553" w:type="dxa"/>
            <w:tcBorders>
              <w:top w:val="single" w:sz="8" w:space="0" w:color="000000"/>
              <w:left w:val="single" w:sz="8" w:space="0" w:color="000000"/>
              <w:bottom w:val="single" w:sz="8" w:space="0" w:color="000000"/>
              <w:right w:val="single" w:sz="8" w:space="0" w:color="000000"/>
            </w:tcBorders>
            <w:noWrap/>
            <w:vAlign w:val="bottom"/>
            <w:hideMark/>
          </w:tcPr>
          <w:p w14:paraId="6B095101" w14:textId="77777777" w:rsidR="001726CE" w:rsidRDefault="001726CE" w:rsidP="002643B2">
            <w:pPr>
              <w:spacing w:before="240"/>
              <w:jc w:val="center"/>
              <w:rPr>
                <w:rFonts w:ascii="Arial" w:hAnsi="Arial" w:cs="Arial"/>
                <w:b/>
                <w:bCs/>
                <w:sz w:val="18"/>
                <w:szCs w:val="18"/>
              </w:rPr>
            </w:pPr>
            <w:r>
              <w:rPr>
                <w:rFonts w:ascii="Arial" w:hAnsi="Arial" w:cs="Arial"/>
                <w:b/>
                <w:bCs/>
                <w:sz w:val="18"/>
                <w:szCs w:val="18"/>
              </w:rPr>
              <w:t>Kraj</w:t>
            </w:r>
          </w:p>
        </w:tc>
        <w:tc>
          <w:tcPr>
            <w:tcW w:w="226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5F7574B2"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3 604 977 815</w:t>
            </w:r>
          </w:p>
        </w:tc>
        <w:tc>
          <w:tcPr>
            <w:tcW w:w="22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AA8B5"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2 584 837 433</w:t>
            </w:r>
          </w:p>
        </w:tc>
        <w:tc>
          <w:tcPr>
            <w:tcW w:w="2125" w:type="dxa"/>
            <w:tcBorders>
              <w:top w:val="single" w:sz="4" w:space="0" w:color="auto"/>
              <w:left w:val="nil"/>
              <w:bottom w:val="single" w:sz="4" w:space="0" w:color="auto"/>
              <w:right w:val="single" w:sz="4" w:space="0" w:color="auto"/>
            </w:tcBorders>
            <w:shd w:val="clear" w:color="000000" w:fill="FFFFFF"/>
            <w:noWrap/>
            <w:vAlign w:val="bottom"/>
            <w:hideMark/>
          </w:tcPr>
          <w:p w14:paraId="0BF6EBA4"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33 310 654</w:t>
            </w:r>
          </w:p>
        </w:tc>
      </w:tr>
      <w:tr w:rsidR="001726CE" w14:paraId="1D75C2E9" w14:textId="77777777" w:rsidTr="002643B2">
        <w:trPr>
          <w:trHeight w:val="333"/>
        </w:trPr>
        <w:tc>
          <w:tcPr>
            <w:tcW w:w="2553" w:type="dxa"/>
            <w:tcBorders>
              <w:top w:val="single" w:sz="8" w:space="0" w:color="000000"/>
              <w:left w:val="single" w:sz="8" w:space="0" w:color="000000"/>
              <w:bottom w:val="single" w:sz="8" w:space="0" w:color="000000"/>
              <w:right w:val="single" w:sz="8" w:space="0" w:color="000000"/>
            </w:tcBorders>
            <w:noWrap/>
            <w:vAlign w:val="bottom"/>
            <w:hideMark/>
          </w:tcPr>
          <w:p w14:paraId="08C2D342" w14:textId="77777777" w:rsidR="001726CE" w:rsidRDefault="001726CE" w:rsidP="002643B2">
            <w:pPr>
              <w:spacing w:before="240"/>
              <w:jc w:val="center"/>
              <w:rPr>
                <w:rFonts w:ascii="Arial" w:hAnsi="Arial" w:cs="Arial"/>
                <w:b/>
                <w:bCs/>
                <w:sz w:val="18"/>
                <w:szCs w:val="18"/>
              </w:rPr>
            </w:pPr>
            <w:r>
              <w:rPr>
                <w:rFonts w:ascii="Arial" w:hAnsi="Arial" w:cs="Arial"/>
                <w:b/>
                <w:bCs/>
                <w:sz w:val="18"/>
                <w:szCs w:val="18"/>
              </w:rPr>
              <w:t>Obec</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352F3829"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6 660 887 783</w:t>
            </w:r>
          </w:p>
        </w:tc>
        <w:tc>
          <w:tcPr>
            <w:tcW w:w="2264" w:type="dxa"/>
            <w:tcBorders>
              <w:top w:val="nil"/>
              <w:left w:val="single" w:sz="4" w:space="0" w:color="auto"/>
              <w:bottom w:val="single" w:sz="4" w:space="0" w:color="auto"/>
              <w:right w:val="single" w:sz="4" w:space="0" w:color="auto"/>
            </w:tcBorders>
            <w:shd w:val="clear" w:color="000000" w:fill="FFFFFF"/>
            <w:noWrap/>
            <w:vAlign w:val="bottom"/>
            <w:hideMark/>
          </w:tcPr>
          <w:p w14:paraId="6F8A44AC"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4 761 979 764</w:t>
            </w:r>
          </w:p>
        </w:tc>
        <w:tc>
          <w:tcPr>
            <w:tcW w:w="2125" w:type="dxa"/>
            <w:tcBorders>
              <w:top w:val="nil"/>
              <w:left w:val="nil"/>
              <w:bottom w:val="single" w:sz="4" w:space="0" w:color="auto"/>
              <w:right w:val="single" w:sz="4" w:space="0" w:color="auto"/>
            </w:tcBorders>
            <w:shd w:val="clear" w:color="000000" w:fill="FFFFFF"/>
            <w:noWrap/>
            <w:vAlign w:val="bottom"/>
            <w:hideMark/>
          </w:tcPr>
          <w:p w14:paraId="26797B23"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33 280 494</w:t>
            </w:r>
          </w:p>
        </w:tc>
      </w:tr>
      <w:tr w:rsidR="001726CE" w14:paraId="49B1C744" w14:textId="77777777" w:rsidTr="002643B2">
        <w:trPr>
          <w:trHeight w:val="333"/>
        </w:trPr>
        <w:tc>
          <w:tcPr>
            <w:tcW w:w="2553" w:type="dxa"/>
            <w:tcBorders>
              <w:top w:val="single" w:sz="8" w:space="0" w:color="000000"/>
              <w:left w:val="single" w:sz="8" w:space="0" w:color="000000"/>
              <w:bottom w:val="single" w:sz="8" w:space="0" w:color="000000"/>
              <w:right w:val="single" w:sz="8" w:space="0" w:color="000000"/>
            </w:tcBorders>
            <w:noWrap/>
            <w:vAlign w:val="bottom"/>
            <w:hideMark/>
          </w:tcPr>
          <w:p w14:paraId="49C32C47" w14:textId="77777777" w:rsidR="001726CE" w:rsidRDefault="001726CE" w:rsidP="002643B2">
            <w:pPr>
              <w:jc w:val="center"/>
              <w:rPr>
                <w:rFonts w:ascii="Arial" w:hAnsi="Arial" w:cs="Arial"/>
                <w:b/>
                <w:bCs/>
                <w:sz w:val="18"/>
                <w:szCs w:val="18"/>
              </w:rPr>
            </w:pPr>
            <w:r>
              <w:rPr>
                <w:rFonts w:ascii="Arial" w:hAnsi="Arial" w:cs="Arial"/>
                <w:b/>
                <w:bCs/>
                <w:sz w:val="18"/>
                <w:szCs w:val="18"/>
              </w:rPr>
              <w:t>Rezerva</w:t>
            </w:r>
          </w:p>
        </w:tc>
        <w:tc>
          <w:tcPr>
            <w:tcW w:w="2268" w:type="dxa"/>
            <w:tcBorders>
              <w:top w:val="single" w:sz="8" w:space="0" w:color="000000"/>
              <w:left w:val="single" w:sz="8" w:space="0" w:color="000000"/>
              <w:bottom w:val="single" w:sz="8" w:space="0" w:color="000000"/>
              <w:right w:val="single" w:sz="4" w:space="0" w:color="auto"/>
            </w:tcBorders>
            <w:noWrap/>
            <w:vAlign w:val="bottom"/>
            <w:hideMark/>
          </w:tcPr>
          <w:p w14:paraId="5F866C25"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41 822 719</w:t>
            </w:r>
          </w:p>
        </w:tc>
        <w:tc>
          <w:tcPr>
            <w:tcW w:w="2264"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42EFA4CD"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23 479 656</w:t>
            </w:r>
          </w:p>
        </w:tc>
        <w:tc>
          <w:tcPr>
            <w:tcW w:w="2125" w:type="dxa"/>
            <w:tcBorders>
              <w:top w:val="single" w:sz="4" w:space="0" w:color="auto"/>
              <w:left w:val="nil"/>
              <w:bottom w:val="single" w:sz="8" w:space="0" w:color="auto"/>
              <w:right w:val="single" w:sz="4" w:space="0" w:color="auto"/>
            </w:tcBorders>
            <w:shd w:val="clear" w:color="000000" w:fill="FFFFFF"/>
            <w:noWrap/>
            <w:vAlign w:val="bottom"/>
            <w:hideMark/>
          </w:tcPr>
          <w:p w14:paraId="7E9232BF"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508 742</w:t>
            </w:r>
          </w:p>
        </w:tc>
      </w:tr>
      <w:tr w:rsidR="001726CE" w14:paraId="3E413F92" w14:textId="77777777" w:rsidTr="002643B2">
        <w:trPr>
          <w:trHeight w:val="333"/>
        </w:trPr>
        <w:tc>
          <w:tcPr>
            <w:tcW w:w="2553" w:type="dxa"/>
            <w:tcBorders>
              <w:top w:val="nil"/>
              <w:left w:val="single" w:sz="8" w:space="0" w:color="auto"/>
              <w:bottom w:val="single" w:sz="8" w:space="0" w:color="auto"/>
              <w:right w:val="single" w:sz="8" w:space="0" w:color="auto"/>
            </w:tcBorders>
            <w:noWrap/>
            <w:vAlign w:val="bottom"/>
            <w:hideMark/>
          </w:tcPr>
          <w:p w14:paraId="44365B89" w14:textId="77777777" w:rsidR="001726CE" w:rsidRDefault="001726CE" w:rsidP="002643B2">
            <w:pPr>
              <w:jc w:val="center"/>
              <w:rPr>
                <w:rFonts w:ascii="Arial" w:hAnsi="Arial" w:cs="Arial"/>
                <w:b/>
                <w:bCs/>
                <w:sz w:val="18"/>
                <w:szCs w:val="18"/>
                <w:highlight w:val="yellow"/>
              </w:rPr>
            </w:pPr>
            <w:r>
              <w:rPr>
                <w:rFonts w:ascii="Arial" w:hAnsi="Arial" w:cs="Arial"/>
                <w:b/>
                <w:bCs/>
                <w:sz w:val="18"/>
                <w:szCs w:val="18"/>
              </w:rPr>
              <w:t>Celkem 2021</w:t>
            </w:r>
          </w:p>
        </w:tc>
        <w:tc>
          <w:tcPr>
            <w:tcW w:w="2268" w:type="dxa"/>
            <w:tcBorders>
              <w:top w:val="single" w:sz="8" w:space="0" w:color="000000"/>
              <w:left w:val="single" w:sz="8" w:space="0" w:color="000000"/>
              <w:bottom w:val="single" w:sz="8" w:space="0" w:color="000000"/>
              <w:right w:val="single" w:sz="8" w:space="0" w:color="000000"/>
            </w:tcBorders>
            <w:noWrap/>
            <w:vAlign w:val="bottom"/>
            <w:hideMark/>
          </w:tcPr>
          <w:p w14:paraId="74627CD2" w14:textId="77777777" w:rsidR="001726CE" w:rsidRDefault="001726CE" w:rsidP="002643B2">
            <w:pPr>
              <w:spacing w:before="240"/>
              <w:ind w:right="502"/>
              <w:jc w:val="right"/>
              <w:rPr>
                <w:rFonts w:ascii="Arial" w:hAnsi="Arial" w:cs="Arial"/>
                <w:b/>
                <w:sz w:val="18"/>
                <w:szCs w:val="18"/>
                <w:highlight w:val="yellow"/>
              </w:rPr>
            </w:pPr>
            <w:r w:rsidRPr="00A37013">
              <w:rPr>
                <w:rFonts w:ascii="Arial" w:hAnsi="Arial" w:cs="Arial"/>
                <w:b/>
                <w:sz w:val="18"/>
                <w:szCs w:val="18"/>
              </w:rPr>
              <w:t>10 307 688 317</w:t>
            </w:r>
          </w:p>
        </w:tc>
        <w:tc>
          <w:tcPr>
            <w:tcW w:w="22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5B6D45" w14:textId="77777777" w:rsidR="001726CE" w:rsidRPr="00A37013" w:rsidRDefault="001726CE" w:rsidP="002643B2">
            <w:pPr>
              <w:spacing w:before="240"/>
              <w:ind w:right="502"/>
              <w:jc w:val="right"/>
              <w:rPr>
                <w:rFonts w:ascii="Arial" w:hAnsi="Arial" w:cs="Arial"/>
                <w:b/>
                <w:sz w:val="18"/>
                <w:szCs w:val="18"/>
              </w:rPr>
            </w:pPr>
            <w:r w:rsidRPr="00A37013">
              <w:rPr>
                <w:rFonts w:ascii="Arial" w:hAnsi="Arial" w:cs="Arial"/>
                <w:b/>
                <w:sz w:val="18"/>
                <w:szCs w:val="18"/>
              </w:rPr>
              <w:t>7 370 296 853</w:t>
            </w:r>
          </w:p>
        </w:tc>
        <w:tc>
          <w:tcPr>
            <w:tcW w:w="2125" w:type="dxa"/>
            <w:tcBorders>
              <w:top w:val="single" w:sz="4" w:space="0" w:color="auto"/>
              <w:left w:val="nil"/>
              <w:bottom w:val="single" w:sz="4" w:space="0" w:color="auto"/>
              <w:right w:val="single" w:sz="4" w:space="0" w:color="auto"/>
            </w:tcBorders>
            <w:shd w:val="clear" w:color="000000" w:fill="FFFFFF"/>
            <w:noWrap/>
            <w:vAlign w:val="bottom"/>
            <w:hideMark/>
          </w:tcPr>
          <w:p w14:paraId="2B7B8F9D" w14:textId="77777777" w:rsidR="001726CE" w:rsidRPr="00A37013" w:rsidRDefault="001726CE" w:rsidP="002643B2">
            <w:pPr>
              <w:spacing w:before="240"/>
              <w:ind w:right="502"/>
              <w:jc w:val="right"/>
              <w:rPr>
                <w:rFonts w:ascii="Arial" w:hAnsi="Arial" w:cs="Arial"/>
                <w:b/>
                <w:sz w:val="18"/>
                <w:szCs w:val="18"/>
              </w:rPr>
            </w:pPr>
            <w:r w:rsidRPr="00A37013">
              <w:rPr>
                <w:rFonts w:ascii="Arial" w:hAnsi="Arial" w:cs="Arial"/>
                <w:b/>
                <w:sz w:val="18"/>
                <w:szCs w:val="18"/>
              </w:rPr>
              <w:t>67 099 890</w:t>
            </w:r>
          </w:p>
        </w:tc>
      </w:tr>
    </w:tbl>
    <w:p w14:paraId="68309898" w14:textId="77777777" w:rsidR="001726CE" w:rsidRDefault="001726CE" w:rsidP="005711F5">
      <w:pPr>
        <w:jc w:val="both"/>
        <w:rPr>
          <w:rFonts w:ascii="Arial" w:hAnsi="Arial" w:cs="Arial"/>
          <w:strike/>
          <w:sz w:val="18"/>
          <w:szCs w:val="18"/>
          <w:highlight w:val="yellow"/>
        </w:rPr>
      </w:pPr>
    </w:p>
    <w:p w14:paraId="2B5AEB91" w14:textId="77777777" w:rsidR="001726CE" w:rsidRDefault="001726CE" w:rsidP="005711F5">
      <w:pPr>
        <w:jc w:val="both"/>
        <w:rPr>
          <w:rFonts w:ascii="Arial" w:hAnsi="Arial" w:cs="Arial"/>
          <w:sz w:val="18"/>
          <w:szCs w:val="18"/>
          <w:highlight w:val="yellow"/>
        </w:rPr>
      </w:pPr>
      <w:r>
        <w:rPr>
          <w:rFonts w:ascii="Arial" w:hAnsi="Arial" w:cs="Arial"/>
          <w:szCs w:val="20"/>
        </w:rPr>
        <w:t>Tab. 2 – Rozpis rozpočtu přímých výdajů regionálního školství v Jihočeském kraji k 25. 8. 2021</w:t>
      </w:r>
      <w:r>
        <w:rPr>
          <w:rFonts w:ascii="Arial" w:hAnsi="Arial" w:cs="Arial"/>
          <w:sz w:val="18"/>
          <w:szCs w:val="18"/>
        </w:rPr>
        <w:t xml:space="preserve"> </w:t>
      </w:r>
      <w:r>
        <w:rPr>
          <w:rFonts w:ascii="Arial" w:hAnsi="Arial" w:cs="Arial"/>
          <w:b/>
          <w:bCs/>
          <w:i/>
          <w:iCs/>
          <w:sz w:val="18"/>
          <w:szCs w:val="18"/>
        </w:rPr>
        <w:t>pokračování</w:t>
      </w:r>
    </w:p>
    <w:tbl>
      <w:tblPr>
        <w:tblW w:w="9210" w:type="dxa"/>
        <w:tblInd w:w="70" w:type="dxa"/>
        <w:tblLayout w:type="fixed"/>
        <w:tblCellMar>
          <w:left w:w="70" w:type="dxa"/>
          <w:right w:w="70" w:type="dxa"/>
        </w:tblCellMar>
        <w:tblLook w:val="04A0" w:firstRow="1" w:lastRow="0" w:firstColumn="1" w:lastColumn="0" w:noHBand="0" w:noVBand="1"/>
      </w:tblPr>
      <w:tblGrid>
        <w:gridCol w:w="1560"/>
        <w:gridCol w:w="2549"/>
        <w:gridCol w:w="1843"/>
        <w:gridCol w:w="1682"/>
        <w:gridCol w:w="18"/>
        <w:gridCol w:w="1558"/>
      </w:tblGrid>
      <w:tr w:rsidR="001726CE" w14:paraId="288C486D" w14:textId="77777777" w:rsidTr="002643B2">
        <w:trPr>
          <w:trHeight w:val="318"/>
        </w:trPr>
        <w:tc>
          <w:tcPr>
            <w:tcW w:w="1560" w:type="dxa"/>
            <w:vMerge w:val="restart"/>
            <w:tcBorders>
              <w:top w:val="single" w:sz="8" w:space="0" w:color="auto"/>
              <w:left w:val="single" w:sz="8" w:space="0" w:color="auto"/>
              <w:bottom w:val="single" w:sz="4" w:space="0" w:color="auto"/>
              <w:right w:val="single" w:sz="4" w:space="0" w:color="auto"/>
            </w:tcBorders>
          </w:tcPr>
          <w:p w14:paraId="5A0BE62D" w14:textId="77777777" w:rsidR="001726CE" w:rsidRDefault="001726CE" w:rsidP="002643B2">
            <w:pPr>
              <w:jc w:val="center"/>
              <w:rPr>
                <w:rFonts w:ascii="Arial" w:hAnsi="Arial" w:cs="Arial"/>
                <w:b/>
                <w:bCs/>
                <w:sz w:val="18"/>
                <w:szCs w:val="18"/>
              </w:rPr>
            </w:pPr>
          </w:p>
          <w:p w14:paraId="158A37A6" w14:textId="77777777" w:rsidR="001726CE" w:rsidRDefault="001726CE" w:rsidP="002643B2">
            <w:pPr>
              <w:jc w:val="center"/>
              <w:rPr>
                <w:rFonts w:ascii="Arial" w:hAnsi="Arial" w:cs="Arial"/>
                <w:b/>
                <w:bCs/>
                <w:sz w:val="18"/>
                <w:szCs w:val="18"/>
              </w:rPr>
            </w:pPr>
          </w:p>
          <w:p w14:paraId="728592F9" w14:textId="77777777" w:rsidR="001726CE" w:rsidRDefault="001726CE" w:rsidP="002643B2">
            <w:pPr>
              <w:jc w:val="center"/>
              <w:rPr>
                <w:rFonts w:ascii="Arial" w:hAnsi="Arial" w:cs="Arial"/>
                <w:b/>
                <w:bCs/>
                <w:sz w:val="18"/>
                <w:szCs w:val="18"/>
              </w:rPr>
            </w:pPr>
          </w:p>
          <w:p w14:paraId="09645917" w14:textId="77777777" w:rsidR="001726CE" w:rsidRDefault="001726CE" w:rsidP="002643B2">
            <w:pPr>
              <w:jc w:val="center"/>
              <w:rPr>
                <w:rFonts w:ascii="Arial" w:hAnsi="Arial" w:cs="Arial"/>
                <w:b/>
                <w:bCs/>
                <w:sz w:val="18"/>
                <w:szCs w:val="18"/>
              </w:rPr>
            </w:pPr>
            <w:r>
              <w:rPr>
                <w:rFonts w:ascii="Arial" w:hAnsi="Arial" w:cs="Arial"/>
                <w:b/>
                <w:bCs/>
                <w:sz w:val="18"/>
                <w:szCs w:val="18"/>
              </w:rPr>
              <w:t>Zřizovatel</w:t>
            </w:r>
          </w:p>
        </w:tc>
        <w:tc>
          <w:tcPr>
            <w:tcW w:w="6092" w:type="dxa"/>
            <w:gridSpan w:val="4"/>
            <w:tcBorders>
              <w:top w:val="single" w:sz="8" w:space="0" w:color="auto"/>
              <w:left w:val="single" w:sz="4" w:space="0" w:color="auto"/>
              <w:bottom w:val="single" w:sz="8" w:space="0" w:color="auto"/>
              <w:right w:val="single" w:sz="8" w:space="0" w:color="auto"/>
            </w:tcBorders>
            <w:vAlign w:val="bottom"/>
            <w:hideMark/>
          </w:tcPr>
          <w:p w14:paraId="69BA79EE" w14:textId="77777777" w:rsidR="001726CE" w:rsidRDefault="001726CE" w:rsidP="002643B2">
            <w:pPr>
              <w:jc w:val="center"/>
              <w:rPr>
                <w:rFonts w:ascii="Arial" w:hAnsi="Arial" w:cs="Arial"/>
                <w:b/>
                <w:bCs/>
                <w:sz w:val="18"/>
                <w:szCs w:val="18"/>
              </w:rPr>
            </w:pPr>
            <w:r>
              <w:rPr>
                <w:rFonts w:ascii="Arial" w:hAnsi="Arial" w:cs="Arial"/>
                <w:b/>
                <w:bCs/>
                <w:sz w:val="18"/>
                <w:szCs w:val="18"/>
              </w:rPr>
              <w:t>Orientační ukazatele</w:t>
            </w:r>
          </w:p>
        </w:tc>
        <w:tc>
          <w:tcPr>
            <w:tcW w:w="1558" w:type="dxa"/>
            <w:tcBorders>
              <w:top w:val="single" w:sz="8" w:space="0" w:color="auto"/>
              <w:left w:val="single" w:sz="8" w:space="0" w:color="auto"/>
              <w:bottom w:val="single" w:sz="8" w:space="0" w:color="auto"/>
              <w:right w:val="single" w:sz="8" w:space="0" w:color="auto"/>
            </w:tcBorders>
            <w:vAlign w:val="bottom"/>
            <w:hideMark/>
          </w:tcPr>
          <w:p w14:paraId="31E4909B" w14:textId="77777777" w:rsidR="001726CE" w:rsidRDefault="001726CE" w:rsidP="002643B2">
            <w:pPr>
              <w:jc w:val="center"/>
              <w:rPr>
                <w:rFonts w:ascii="Arial" w:hAnsi="Arial" w:cs="Arial"/>
                <w:b/>
                <w:bCs/>
                <w:sz w:val="18"/>
                <w:szCs w:val="18"/>
              </w:rPr>
            </w:pPr>
            <w:r>
              <w:rPr>
                <w:rFonts w:ascii="Arial" w:hAnsi="Arial" w:cs="Arial"/>
                <w:b/>
                <w:bCs/>
                <w:sz w:val="18"/>
                <w:szCs w:val="18"/>
              </w:rPr>
              <w:t>Závazný ukazatel</w:t>
            </w:r>
          </w:p>
        </w:tc>
      </w:tr>
      <w:tr w:rsidR="001726CE" w14:paraId="14E7E0CE" w14:textId="77777777" w:rsidTr="002643B2">
        <w:trPr>
          <w:trHeight w:val="318"/>
        </w:trPr>
        <w:tc>
          <w:tcPr>
            <w:tcW w:w="1560" w:type="dxa"/>
            <w:vMerge/>
            <w:tcBorders>
              <w:top w:val="single" w:sz="8" w:space="0" w:color="auto"/>
              <w:left w:val="single" w:sz="8" w:space="0" w:color="auto"/>
              <w:bottom w:val="single" w:sz="4" w:space="0" w:color="auto"/>
              <w:right w:val="single" w:sz="4" w:space="0" w:color="auto"/>
            </w:tcBorders>
            <w:vAlign w:val="center"/>
            <w:hideMark/>
          </w:tcPr>
          <w:p w14:paraId="28C34754" w14:textId="77777777" w:rsidR="001726CE" w:rsidRDefault="001726CE" w:rsidP="002643B2">
            <w:pPr>
              <w:rPr>
                <w:rFonts w:ascii="Arial" w:hAnsi="Arial" w:cs="Arial"/>
                <w:b/>
                <w:bCs/>
                <w:sz w:val="18"/>
                <w:szCs w:val="18"/>
              </w:rPr>
            </w:pPr>
          </w:p>
        </w:tc>
        <w:tc>
          <w:tcPr>
            <w:tcW w:w="4392" w:type="dxa"/>
            <w:gridSpan w:val="2"/>
            <w:tcBorders>
              <w:top w:val="single" w:sz="8" w:space="0" w:color="auto"/>
              <w:left w:val="single" w:sz="4" w:space="0" w:color="auto"/>
              <w:bottom w:val="single" w:sz="8" w:space="0" w:color="auto"/>
              <w:right w:val="single" w:sz="8" w:space="0" w:color="auto"/>
            </w:tcBorders>
            <w:noWrap/>
            <w:vAlign w:val="bottom"/>
            <w:hideMark/>
          </w:tcPr>
          <w:p w14:paraId="6694312A" w14:textId="77777777" w:rsidR="001726CE" w:rsidRDefault="001726CE" w:rsidP="002643B2">
            <w:pPr>
              <w:jc w:val="center"/>
              <w:rPr>
                <w:rFonts w:ascii="Arial" w:hAnsi="Arial" w:cs="Arial"/>
                <w:b/>
                <w:bCs/>
                <w:sz w:val="18"/>
                <w:szCs w:val="18"/>
              </w:rPr>
            </w:pPr>
            <w:r>
              <w:rPr>
                <w:rFonts w:ascii="Arial" w:hAnsi="Arial" w:cs="Arial"/>
                <w:b/>
                <w:bCs/>
                <w:sz w:val="18"/>
                <w:szCs w:val="18"/>
              </w:rPr>
              <w:t>Odvody</w:t>
            </w:r>
          </w:p>
        </w:tc>
        <w:tc>
          <w:tcPr>
            <w:tcW w:w="1682" w:type="dxa"/>
            <w:tcBorders>
              <w:top w:val="single" w:sz="8" w:space="0" w:color="auto"/>
              <w:left w:val="single" w:sz="8" w:space="0" w:color="auto"/>
              <w:bottom w:val="single" w:sz="8" w:space="0" w:color="auto"/>
              <w:right w:val="single" w:sz="8" w:space="0" w:color="auto"/>
            </w:tcBorders>
            <w:vAlign w:val="bottom"/>
            <w:hideMark/>
          </w:tcPr>
          <w:p w14:paraId="5E2EF551" w14:textId="77777777" w:rsidR="001726CE" w:rsidRDefault="001726CE" w:rsidP="002643B2">
            <w:pPr>
              <w:jc w:val="center"/>
              <w:rPr>
                <w:rFonts w:ascii="Arial" w:hAnsi="Arial" w:cs="Arial"/>
                <w:b/>
                <w:bCs/>
                <w:sz w:val="18"/>
                <w:szCs w:val="18"/>
              </w:rPr>
            </w:pPr>
            <w:r>
              <w:rPr>
                <w:rFonts w:ascii="Arial" w:hAnsi="Arial" w:cs="Arial"/>
                <w:b/>
                <w:bCs/>
                <w:sz w:val="18"/>
                <w:szCs w:val="18"/>
              </w:rPr>
              <w:t>ONIV</w:t>
            </w:r>
          </w:p>
        </w:tc>
        <w:tc>
          <w:tcPr>
            <w:tcW w:w="1576" w:type="dxa"/>
            <w:gridSpan w:val="2"/>
            <w:tcBorders>
              <w:top w:val="single" w:sz="8" w:space="0" w:color="auto"/>
              <w:left w:val="single" w:sz="8" w:space="0" w:color="auto"/>
              <w:bottom w:val="single" w:sz="8" w:space="0" w:color="auto"/>
              <w:right w:val="single" w:sz="8" w:space="0" w:color="auto"/>
            </w:tcBorders>
            <w:noWrap/>
            <w:vAlign w:val="bottom"/>
            <w:hideMark/>
          </w:tcPr>
          <w:p w14:paraId="4A861531" w14:textId="77777777" w:rsidR="001726CE" w:rsidRDefault="001726CE" w:rsidP="002643B2">
            <w:pPr>
              <w:jc w:val="center"/>
              <w:rPr>
                <w:rFonts w:ascii="Arial" w:hAnsi="Arial" w:cs="Arial"/>
                <w:b/>
                <w:bCs/>
                <w:sz w:val="18"/>
                <w:szCs w:val="18"/>
              </w:rPr>
            </w:pPr>
            <w:r>
              <w:rPr>
                <w:rFonts w:ascii="Arial" w:hAnsi="Arial" w:cs="Arial"/>
                <w:b/>
                <w:bCs/>
                <w:sz w:val="18"/>
                <w:szCs w:val="18"/>
              </w:rPr>
              <w:t> </w:t>
            </w:r>
          </w:p>
        </w:tc>
      </w:tr>
      <w:tr w:rsidR="001726CE" w14:paraId="0F21B775" w14:textId="77777777" w:rsidTr="002643B2">
        <w:trPr>
          <w:trHeight w:val="599"/>
        </w:trPr>
        <w:tc>
          <w:tcPr>
            <w:tcW w:w="1560" w:type="dxa"/>
            <w:vMerge/>
            <w:tcBorders>
              <w:top w:val="single" w:sz="8" w:space="0" w:color="auto"/>
              <w:left w:val="single" w:sz="8" w:space="0" w:color="auto"/>
              <w:bottom w:val="single" w:sz="4" w:space="0" w:color="auto"/>
              <w:right w:val="single" w:sz="4" w:space="0" w:color="auto"/>
            </w:tcBorders>
            <w:vAlign w:val="center"/>
            <w:hideMark/>
          </w:tcPr>
          <w:p w14:paraId="1EA7F6CF" w14:textId="77777777" w:rsidR="001726CE" w:rsidRDefault="001726CE" w:rsidP="002643B2">
            <w:pPr>
              <w:rPr>
                <w:rFonts w:ascii="Arial" w:hAnsi="Arial" w:cs="Arial"/>
                <w:b/>
                <w:bCs/>
                <w:sz w:val="18"/>
                <w:szCs w:val="18"/>
              </w:rPr>
            </w:pPr>
          </w:p>
        </w:tc>
        <w:tc>
          <w:tcPr>
            <w:tcW w:w="2549" w:type="dxa"/>
            <w:tcBorders>
              <w:top w:val="single" w:sz="8" w:space="0" w:color="auto"/>
              <w:left w:val="single" w:sz="4" w:space="0" w:color="auto"/>
              <w:bottom w:val="single" w:sz="8" w:space="0" w:color="auto"/>
              <w:right w:val="single" w:sz="8" w:space="0" w:color="auto"/>
            </w:tcBorders>
            <w:noWrap/>
            <w:vAlign w:val="bottom"/>
            <w:hideMark/>
          </w:tcPr>
          <w:p w14:paraId="2CB430FA" w14:textId="77777777" w:rsidR="001726CE" w:rsidRDefault="001726CE" w:rsidP="002643B2">
            <w:pPr>
              <w:jc w:val="center"/>
              <w:rPr>
                <w:rFonts w:ascii="Arial" w:hAnsi="Arial" w:cs="Arial"/>
                <w:b/>
                <w:bCs/>
                <w:sz w:val="18"/>
                <w:szCs w:val="18"/>
              </w:rPr>
            </w:pPr>
            <w:r>
              <w:rPr>
                <w:rFonts w:ascii="Arial" w:hAnsi="Arial" w:cs="Arial"/>
                <w:b/>
                <w:bCs/>
                <w:sz w:val="18"/>
                <w:szCs w:val="18"/>
              </w:rPr>
              <w:t>pojistné</w:t>
            </w:r>
          </w:p>
        </w:tc>
        <w:tc>
          <w:tcPr>
            <w:tcW w:w="1843" w:type="dxa"/>
            <w:tcBorders>
              <w:top w:val="single" w:sz="8" w:space="0" w:color="auto"/>
              <w:left w:val="single" w:sz="8" w:space="0" w:color="auto"/>
              <w:bottom w:val="single" w:sz="8" w:space="0" w:color="auto"/>
              <w:right w:val="single" w:sz="8" w:space="0" w:color="auto"/>
            </w:tcBorders>
            <w:noWrap/>
            <w:vAlign w:val="bottom"/>
            <w:hideMark/>
          </w:tcPr>
          <w:p w14:paraId="17C7AF21" w14:textId="77777777" w:rsidR="001726CE" w:rsidRDefault="001726CE" w:rsidP="002643B2">
            <w:pPr>
              <w:jc w:val="center"/>
              <w:rPr>
                <w:rFonts w:ascii="Arial" w:hAnsi="Arial" w:cs="Arial"/>
                <w:b/>
                <w:bCs/>
                <w:sz w:val="18"/>
                <w:szCs w:val="18"/>
              </w:rPr>
            </w:pPr>
            <w:r>
              <w:rPr>
                <w:rFonts w:ascii="Arial" w:hAnsi="Arial" w:cs="Arial"/>
                <w:b/>
                <w:bCs/>
                <w:sz w:val="18"/>
                <w:szCs w:val="18"/>
              </w:rPr>
              <w:t>FKSP</w:t>
            </w:r>
          </w:p>
        </w:tc>
        <w:tc>
          <w:tcPr>
            <w:tcW w:w="1700" w:type="dxa"/>
            <w:gridSpan w:val="2"/>
            <w:tcBorders>
              <w:top w:val="single" w:sz="8" w:space="0" w:color="auto"/>
              <w:left w:val="single" w:sz="8" w:space="0" w:color="auto"/>
              <w:bottom w:val="single" w:sz="8" w:space="0" w:color="auto"/>
              <w:right w:val="single" w:sz="8" w:space="0" w:color="auto"/>
            </w:tcBorders>
            <w:vAlign w:val="bottom"/>
            <w:hideMark/>
          </w:tcPr>
          <w:p w14:paraId="62964354" w14:textId="77777777" w:rsidR="001726CE" w:rsidRDefault="001726CE" w:rsidP="002643B2">
            <w:pPr>
              <w:jc w:val="center"/>
              <w:rPr>
                <w:rFonts w:ascii="Arial" w:hAnsi="Arial" w:cs="Arial"/>
                <w:b/>
                <w:bCs/>
                <w:sz w:val="18"/>
                <w:szCs w:val="18"/>
              </w:rPr>
            </w:pPr>
            <w:r>
              <w:rPr>
                <w:rFonts w:ascii="Arial" w:hAnsi="Arial" w:cs="Arial"/>
                <w:b/>
                <w:bCs/>
                <w:sz w:val="18"/>
                <w:szCs w:val="18"/>
              </w:rPr>
              <w:t> </w:t>
            </w:r>
          </w:p>
        </w:tc>
        <w:tc>
          <w:tcPr>
            <w:tcW w:w="1558" w:type="dxa"/>
            <w:tcBorders>
              <w:top w:val="single" w:sz="8" w:space="0" w:color="auto"/>
              <w:left w:val="single" w:sz="8" w:space="0" w:color="auto"/>
              <w:bottom w:val="single" w:sz="8" w:space="0" w:color="auto"/>
              <w:right w:val="single" w:sz="8" w:space="0" w:color="auto"/>
            </w:tcBorders>
            <w:noWrap/>
            <w:vAlign w:val="bottom"/>
            <w:hideMark/>
          </w:tcPr>
          <w:p w14:paraId="39A1CC27" w14:textId="77777777" w:rsidR="001726CE" w:rsidRDefault="001726CE" w:rsidP="002643B2">
            <w:pPr>
              <w:jc w:val="center"/>
              <w:rPr>
                <w:rFonts w:ascii="Arial" w:hAnsi="Arial" w:cs="Arial"/>
                <w:b/>
                <w:bCs/>
                <w:sz w:val="18"/>
                <w:szCs w:val="18"/>
              </w:rPr>
            </w:pPr>
            <w:r>
              <w:rPr>
                <w:rFonts w:ascii="Arial" w:hAnsi="Arial" w:cs="Arial"/>
                <w:b/>
                <w:bCs/>
                <w:sz w:val="18"/>
                <w:szCs w:val="18"/>
              </w:rPr>
              <w:t xml:space="preserve"> počet zaměstnanců</w:t>
            </w:r>
          </w:p>
        </w:tc>
      </w:tr>
      <w:tr w:rsidR="001726CE" w14:paraId="0525D7F4" w14:textId="77777777" w:rsidTr="002643B2">
        <w:trPr>
          <w:trHeight w:val="318"/>
        </w:trPr>
        <w:tc>
          <w:tcPr>
            <w:tcW w:w="1560" w:type="dxa"/>
            <w:vMerge/>
            <w:tcBorders>
              <w:top w:val="single" w:sz="8" w:space="0" w:color="auto"/>
              <w:left w:val="single" w:sz="8" w:space="0" w:color="auto"/>
              <w:bottom w:val="single" w:sz="4" w:space="0" w:color="auto"/>
              <w:right w:val="single" w:sz="4" w:space="0" w:color="auto"/>
            </w:tcBorders>
            <w:vAlign w:val="center"/>
            <w:hideMark/>
          </w:tcPr>
          <w:p w14:paraId="1B87BB54" w14:textId="77777777" w:rsidR="001726CE" w:rsidRDefault="001726CE" w:rsidP="002643B2">
            <w:pPr>
              <w:rPr>
                <w:rFonts w:ascii="Arial" w:hAnsi="Arial" w:cs="Arial"/>
                <w:b/>
                <w:bCs/>
                <w:sz w:val="18"/>
                <w:szCs w:val="18"/>
              </w:rPr>
            </w:pPr>
          </w:p>
        </w:tc>
        <w:tc>
          <w:tcPr>
            <w:tcW w:w="2549" w:type="dxa"/>
            <w:tcBorders>
              <w:top w:val="single" w:sz="8" w:space="0" w:color="auto"/>
              <w:left w:val="single" w:sz="4" w:space="0" w:color="auto"/>
              <w:bottom w:val="single" w:sz="8" w:space="0" w:color="auto"/>
              <w:right w:val="single" w:sz="8" w:space="0" w:color="auto"/>
            </w:tcBorders>
            <w:noWrap/>
            <w:vAlign w:val="bottom"/>
            <w:hideMark/>
          </w:tcPr>
          <w:p w14:paraId="412A455B" w14:textId="77777777" w:rsidR="001726CE" w:rsidRDefault="001726CE" w:rsidP="002643B2">
            <w:pPr>
              <w:jc w:val="center"/>
              <w:rPr>
                <w:rFonts w:ascii="Arial" w:hAnsi="Arial" w:cs="Arial"/>
                <w:b/>
                <w:bCs/>
                <w:sz w:val="18"/>
                <w:szCs w:val="18"/>
              </w:rPr>
            </w:pPr>
            <w:r>
              <w:rPr>
                <w:rFonts w:ascii="Arial" w:hAnsi="Arial" w:cs="Arial"/>
                <w:b/>
                <w:bCs/>
                <w:sz w:val="18"/>
                <w:szCs w:val="18"/>
              </w:rPr>
              <w:t>v Kč</w:t>
            </w:r>
          </w:p>
        </w:tc>
        <w:tc>
          <w:tcPr>
            <w:tcW w:w="1843" w:type="dxa"/>
            <w:tcBorders>
              <w:top w:val="single" w:sz="8" w:space="0" w:color="auto"/>
              <w:left w:val="nil"/>
              <w:bottom w:val="single" w:sz="8" w:space="0" w:color="auto"/>
              <w:right w:val="single" w:sz="8" w:space="0" w:color="auto"/>
            </w:tcBorders>
            <w:noWrap/>
            <w:vAlign w:val="bottom"/>
            <w:hideMark/>
          </w:tcPr>
          <w:p w14:paraId="0DB3849C" w14:textId="77777777" w:rsidR="001726CE" w:rsidRDefault="001726CE" w:rsidP="002643B2">
            <w:pPr>
              <w:jc w:val="center"/>
              <w:rPr>
                <w:rFonts w:ascii="Arial" w:hAnsi="Arial" w:cs="Arial"/>
                <w:b/>
                <w:bCs/>
                <w:sz w:val="18"/>
                <w:szCs w:val="18"/>
              </w:rPr>
            </w:pPr>
            <w:r>
              <w:rPr>
                <w:rFonts w:ascii="Arial" w:hAnsi="Arial" w:cs="Arial"/>
                <w:b/>
                <w:bCs/>
                <w:sz w:val="18"/>
                <w:szCs w:val="18"/>
              </w:rPr>
              <w:t>v Kč</w:t>
            </w:r>
          </w:p>
        </w:tc>
        <w:tc>
          <w:tcPr>
            <w:tcW w:w="1700" w:type="dxa"/>
            <w:gridSpan w:val="2"/>
            <w:tcBorders>
              <w:top w:val="single" w:sz="8" w:space="0" w:color="auto"/>
              <w:left w:val="nil"/>
              <w:bottom w:val="single" w:sz="8" w:space="0" w:color="auto"/>
              <w:right w:val="single" w:sz="8" w:space="0" w:color="auto"/>
            </w:tcBorders>
            <w:noWrap/>
            <w:vAlign w:val="bottom"/>
            <w:hideMark/>
          </w:tcPr>
          <w:p w14:paraId="3AF31243" w14:textId="77777777" w:rsidR="001726CE" w:rsidRDefault="001726CE" w:rsidP="002643B2">
            <w:pPr>
              <w:jc w:val="center"/>
              <w:rPr>
                <w:rFonts w:ascii="Arial" w:hAnsi="Arial" w:cs="Arial"/>
                <w:b/>
                <w:bCs/>
                <w:sz w:val="18"/>
                <w:szCs w:val="18"/>
              </w:rPr>
            </w:pPr>
            <w:r>
              <w:rPr>
                <w:rFonts w:ascii="Arial" w:hAnsi="Arial" w:cs="Arial"/>
                <w:b/>
                <w:bCs/>
                <w:sz w:val="18"/>
                <w:szCs w:val="18"/>
              </w:rPr>
              <w:t>v Kč</w:t>
            </w:r>
          </w:p>
        </w:tc>
        <w:tc>
          <w:tcPr>
            <w:tcW w:w="1558" w:type="dxa"/>
            <w:tcBorders>
              <w:top w:val="single" w:sz="8" w:space="0" w:color="auto"/>
              <w:left w:val="nil"/>
              <w:bottom w:val="single" w:sz="8" w:space="0" w:color="auto"/>
              <w:right w:val="single" w:sz="8" w:space="0" w:color="auto"/>
            </w:tcBorders>
            <w:noWrap/>
            <w:vAlign w:val="bottom"/>
            <w:hideMark/>
          </w:tcPr>
          <w:p w14:paraId="1A107A05" w14:textId="77777777" w:rsidR="001726CE" w:rsidRDefault="001726CE" w:rsidP="002643B2">
            <w:pPr>
              <w:jc w:val="center"/>
              <w:rPr>
                <w:rFonts w:ascii="Arial" w:hAnsi="Arial" w:cs="Arial"/>
                <w:b/>
                <w:bCs/>
                <w:sz w:val="18"/>
                <w:szCs w:val="18"/>
              </w:rPr>
            </w:pPr>
            <w:r>
              <w:rPr>
                <w:rFonts w:ascii="Arial" w:hAnsi="Arial" w:cs="Arial"/>
                <w:b/>
                <w:bCs/>
                <w:sz w:val="18"/>
                <w:szCs w:val="18"/>
              </w:rPr>
              <w:t> </w:t>
            </w:r>
          </w:p>
        </w:tc>
      </w:tr>
      <w:tr w:rsidR="001726CE" w14:paraId="57F62307" w14:textId="77777777" w:rsidTr="002643B2">
        <w:trPr>
          <w:trHeight w:val="333"/>
        </w:trPr>
        <w:tc>
          <w:tcPr>
            <w:tcW w:w="1560" w:type="dxa"/>
            <w:tcBorders>
              <w:top w:val="single" w:sz="4" w:space="0" w:color="auto"/>
              <w:left w:val="single" w:sz="8" w:space="0" w:color="000000"/>
              <w:bottom w:val="single" w:sz="8" w:space="0" w:color="000000"/>
              <w:right w:val="single" w:sz="8" w:space="0" w:color="000000"/>
            </w:tcBorders>
            <w:vAlign w:val="bottom"/>
            <w:hideMark/>
          </w:tcPr>
          <w:p w14:paraId="17DA5FB8" w14:textId="77777777" w:rsidR="001726CE" w:rsidRDefault="001726CE" w:rsidP="002643B2">
            <w:pPr>
              <w:spacing w:before="240"/>
              <w:jc w:val="center"/>
              <w:rPr>
                <w:rFonts w:ascii="Arial" w:hAnsi="Arial" w:cs="Arial"/>
                <w:b/>
                <w:bCs/>
                <w:sz w:val="18"/>
                <w:szCs w:val="18"/>
              </w:rPr>
            </w:pPr>
            <w:r>
              <w:rPr>
                <w:rFonts w:ascii="Arial" w:hAnsi="Arial" w:cs="Arial"/>
                <w:b/>
                <w:bCs/>
                <w:sz w:val="18"/>
                <w:szCs w:val="18"/>
              </w:rPr>
              <w:t>Kraj</w:t>
            </w: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6D289"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884 468 570</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4817B08E"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51 696 749</w:t>
            </w:r>
          </w:p>
        </w:tc>
        <w:tc>
          <w:tcPr>
            <w:tcW w:w="17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DD08CF"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50 664 409</w:t>
            </w:r>
          </w:p>
        </w:tc>
        <w:tc>
          <w:tcPr>
            <w:tcW w:w="1558" w:type="dxa"/>
            <w:tcBorders>
              <w:top w:val="single" w:sz="8" w:space="0" w:color="auto"/>
              <w:left w:val="nil"/>
              <w:bottom w:val="single" w:sz="8" w:space="0" w:color="auto"/>
              <w:right w:val="single" w:sz="8" w:space="0" w:color="auto"/>
            </w:tcBorders>
            <w:noWrap/>
            <w:vAlign w:val="bottom"/>
            <w:hideMark/>
          </w:tcPr>
          <w:p w14:paraId="6DA7C324" w14:textId="77777777" w:rsidR="001726CE" w:rsidRPr="00A37013" w:rsidRDefault="001726CE" w:rsidP="002643B2">
            <w:pPr>
              <w:spacing w:before="240"/>
              <w:ind w:right="210"/>
              <w:jc w:val="right"/>
              <w:rPr>
                <w:rFonts w:ascii="Arial" w:hAnsi="Arial" w:cs="Arial"/>
                <w:sz w:val="18"/>
                <w:szCs w:val="18"/>
              </w:rPr>
            </w:pPr>
            <w:r w:rsidRPr="00A37013">
              <w:rPr>
                <w:rFonts w:ascii="Arial" w:hAnsi="Arial" w:cs="Arial"/>
                <w:sz w:val="18"/>
                <w:szCs w:val="18"/>
              </w:rPr>
              <w:t>5 226,8894</w:t>
            </w:r>
          </w:p>
        </w:tc>
      </w:tr>
      <w:tr w:rsidR="001726CE" w14:paraId="0FBD0881" w14:textId="77777777" w:rsidTr="002643B2">
        <w:trPr>
          <w:trHeight w:val="333"/>
        </w:trPr>
        <w:tc>
          <w:tcPr>
            <w:tcW w:w="1560" w:type="dxa"/>
            <w:tcBorders>
              <w:top w:val="single" w:sz="8" w:space="0" w:color="000000"/>
              <w:left w:val="single" w:sz="8" w:space="0" w:color="000000"/>
              <w:bottom w:val="single" w:sz="8" w:space="0" w:color="000000"/>
              <w:right w:val="single" w:sz="8" w:space="0" w:color="000000"/>
            </w:tcBorders>
            <w:vAlign w:val="bottom"/>
            <w:hideMark/>
          </w:tcPr>
          <w:p w14:paraId="18AAB390" w14:textId="77777777" w:rsidR="001726CE" w:rsidRDefault="001726CE" w:rsidP="002643B2">
            <w:pPr>
              <w:spacing w:before="240"/>
              <w:jc w:val="center"/>
              <w:rPr>
                <w:rFonts w:ascii="Arial" w:hAnsi="Arial" w:cs="Arial"/>
                <w:b/>
                <w:bCs/>
                <w:sz w:val="18"/>
                <w:szCs w:val="18"/>
              </w:rPr>
            </w:pPr>
            <w:r>
              <w:rPr>
                <w:rFonts w:ascii="Arial" w:hAnsi="Arial" w:cs="Arial"/>
                <w:b/>
                <w:bCs/>
                <w:sz w:val="18"/>
                <w:szCs w:val="18"/>
              </w:rPr>
              <w:t>Obec</w:t>
            </w:r>
          </w:p>
        </w:tc>
        <w:tc>
          <w:tcPr>
            <w:tcW w:w="2549" w:type="dxa"/>
            <w:tcBorders>
              <w:top w:val="nil"/>
              <w:left w:val="single" w:sz="4" w:space="0" w:color="auto"/>
              <w:bottom w:val="single" w:sz="4" w:space="0" w:color="auto"/>
              <w:right w:val="single" w:sz="4" w:space="0" w:color="auto"/>
            </w:tcBorders>
            <w:shd w:val="clear" w:color="000000" w:fill="FFFFFF"/>
            <w:noWrap/>
            <w:vAlign w:val="bottom"/>
            <w:hideMark/>
          </w:tcPr>
          <w:p w14:paraId="67B763FE"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1 616 079 454</w:t>
            </w:r>
          </w:p>
        </w:tc>
        <w:tc>
          <w:tcPr>
            <w:tcW w:w="1843" w:type="dxa"/>
            <w:tcBorders>
              <w:top w:val="nil"/>
              <w:left w:val="nil"/>
              <w:bottom w:val="single" w:sz="4" w:space="0" w:color="auto"/>
              <w:right w:val="single" w:sz="4" w:space="0" w:color="auto"/>
            </w:tcBorders>
            <w:shd w:val="clear" w:color="000000" w:fill="FFFFFF"/>
            <w:noWrap/>
            <w:vAlign w:val="bottom"/>
            <w:hideMark/>
          </w:tcPr>
          <w:p w14:paraId="0183E876"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95 239 595</w:t>
            </w:r>
          </w:p>
        </w:tc>
        <w:tc>
          <w:tcPr>
            <w:tcW w:w="1700" w:type="dxa"/>
            <w:gridSpan w:val="2"/>
            <w:tcBorders>
              <w:top w:val="nil"/>
              <w:left w:val="nil"/>
              <w:bottom w:val="single" w:sz="4" w:space="0" w:color="auto"/>
              <w:right w:val="single" w:sz="4" w:space="0" w:color="auto"/>
            </w:tcBorders>
            <w:shd w:val="clear" w:color="000000" w:fill="FFFFFF"/>
            <w:noWrap/>
            <w:vAlign w:val="bottom"/>
            <w:hideMark/>
          </w:tcPr>
          <w:p w14:paraId="3C799A89"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154 308 476</w:t>
            </w:r>
          </w:p>
        </w:tc>
        <w:tc>
          <w:tcPr>
            <w:tcW w:w="1558" w:type="dxa"/>
            <w:tcBorders>
              <w:top w:val="single" w:sz="8" w:space="0" w:color="auto"/>
              <w:left w:val="nil"/>
              <w:bottom w:val="single" w:sz="8" w:space="0" w:color="auto"/>
              <w:right w:val="single" w:sz="8" w:space="0" w:color="auto"/>
            </w:tcBorders>
            <w:noWrap/>
            <w:vAlign w:val="bottom"/>
            <w:hideMark/>
          </w:tcPr>
          <w:p w14:paraId="202A3EEF" w14:textId="77777777" w:rsidR="001726CE" w:rsidRPr="00A37013" w:rsidRDefault="001726CE" w:rsidP="002643B2">
            <w:pPr>
              <w:spacing w:before="240"/>
              <w:ind w:right="210"/>
              <w:jc w:val="right"/>
              <w:rPr>
                <w:rFonts w:ascii="Arial" w:hAnsi="Arial" w:cs="Arial"/>
                <w:sz w:val="18"/>
                <w:szCs w:val="18"/>
              </w:rPr>
            </w:pPr>
            <w:r w:rsidRPr="00A37013">
              <w:rPr>
                <w:rFonts w:ascii="Arial" w:hAnsi="Arial" w:cs="Arial"/>
                <w:sz w:val="18"/>
                <w:szCs w:val="18"/>
              </w:rPr>
              <w:t>10 637,0302</w:t>
            </w:r>
          </w:p>
        </w:tc>
      </w:tr>
      <w:tr w:rsidR="001726CE" w14:paraId="79B6960E" w14:textId="77777777" w:rsidTr="002643B2">
        <w:trPr>
          <w:trHeight w:val="333"/>
        </w:trPr>
        <w:tc>
          <w:tcPr>
            <w:tcW w:w="1560" w:type="dxa"/>
            <w:tcBorders>
              <w:top w:val="single" w:sz="8" w:space="0" w:color="000000"/>
              <w:left w:val="single" w:sz="8" w:space="0" w:color="000000"/>
              <w:bottom w:val="single" w:sz="8" w:space="0" w:color="000000"/>
              <w:right w:val="single" w:sz="8" w:space="0" w:color="000000"/>
            </w:tcBorders>
            <w:vAlign w:val="bottom"/>
            <w:hideMark/>
          </w:tcPr>
          <w:p w14:paraId="61FC00BF" w14:textId="77777777" w:rsidR="001726CE" w:rsidRDefault="001726CE" w:rsidP="002643B2">
            <w:pPr>
              <w:spacing w:before="240"/>
              <w:jc w:val="center"/>
              <w:rPr>
                <w:rFonts w:ascii="Arial" w:hAnsi="Arial" w:cs="Arial"/>
                <w:b/>
                <w:bCs/>
                <w:sz w:val="18"/>
                <w:szCs w:val="18"/>
              </w:rPr>
            </w:pPr>
            <w:r>
              <w:rPr>
                <w:rFonts w:ascii="Arial" w:hAnsi="Arial" w:cs="Arial"/>
                <w:b/>
                <w:bCs/>
                <w:sz w:val="18"/>
                <w:szCs w:val="18"/>
              </w:rPr>
              <w:t>Rezerva</w:t>
            </w:r>
          </w:p>
        </w:tc>
        <w:tc>
          <w:tcPr>
            <w:tcW w:w="2549"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1BB58EF5"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8 107 884</w:t>
            </w:r>
          </w:p>
        </w:tc>
        <w:tc>
          <w:tcPr>
            <w:tcW w:w="1843" w:type="dxa"/>
            <w:tcBorders>
              <w:top w:val="single" w:sz="4" w:space="0" w:color="auto"/>
              <w:left w:val="nil"/>
              <w:bottom w:val="single" w:sz="8" w:space="0" w:color="auto"/>
              <w:right w:val="single" w:sz="4" w:space="0" w:color="auto"/>
            </w:tcBorders>
            <w:shd w:val="clear" w:color="000000" w:fill="FFFFFF"/>
            <w:noWrap/>
            <w:vAlign w:val="bottom"/>
            <w:hideMark/>
          </w:tcPr>
          <w:p w14:paraId="1F3A123D"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469 987</w:t>
            </w:r>
          </w:p>
        </w:tc>
        <w:tc>
          <w:tcPr>
            <w:tcW w:w="1700" w:type="dxa"/>
            <w:gridSpan w:val="2"/>
            <w:tcBorders>
              <w:top w:val="single" w:sz="4" w:space="0" w:color="auto"/>
              <w:left w:val="nil"/>
              <w:bottom w:val="single" w:sz="8" w:space="0" w:color="auto"/>
              <w:right w:val="single" w:sz="4" w:space="0" w:color="auto"/>
            </w:tcBorders>
            <w:shd w:val="clear" w:color="000000" w:fill="FFFFFF"/>
            <w:noWrap/>
            <w:vAlign w:val="bottom"/>
            <w:hideMark/>
          </w:tcPr>
          <w:p w14:paraId="11DA81B5" w14:textId="77777777" w:rsidR="001726CE" w:rsidRPr="00A37013" w:rsidRDefault="001726CE" w:rsidP="002643B2">
            <w:pPr>
              <w:spacing w:before="240"/>
              <w:ind w:right="502"/>
              <w:jc w:val="right"/>
              <w:rPr>
                <w:rFonts w:ascii="Arial" w:hAnsi="Arial" w:cs="Arial"/>
                <w:sz w:val="18"/>
                <w:szCs w:val="18"/>
              </w:rPr>
            </w:pPr>
            <w:r w:rsidRPr="00A37013">
              <w:rPr>
                <w:rFonts w:ascii="Arial" w:hAnsi="Arial" w:cs="Arial"/>
                <w:sz w:val="18"/>
                <w:szCs w:val="18"/>
              </w:rPr>
              <w:t>9 256 450</w:t>
            </w:r>
          </w:p>
        </w:tc>
        <w:tc>
          <w:tcPr>
            <w:tcW w:w="1558" w:type="dxa"/>
            <w:tcBorders>
              <w:top w:val="single" w:sz="8" w:space="0" w:color="auto"/>
              <w:left w:val="nil"/>
              <w:bottom w:val="single" w:sz="8" w:space="0" w:color="auto"/>
              <w:right w:val="single" w:sz="8" w:space="0" w:color="auto"/>
            </w:tcBorders>
            <w:noWrap/>
            <w:vAlign w:val="bottom"/>
            <w:hideMark/>
          </w:tcPr>
          <w:p w14:paraId="06AEC48A" w14:textId="77777777" w:rsidR="001726CE" w:rsidRPr="00A37013" w:rsidRDefault="001726CE" w:rsidP="002643B2">
            <w:pPr>
              <w:spacing w:before="240"/>
              <w:ind w:right="210"/>
              <w:jc w:val="right"/>
              <w:rPr>
                <w:rFonts w:ascii="Arial" w:hAnsi="Arial" w:cs="Arial"/>
                <w:sz w:val="18"/>
                <w:szCs w:val="18"/>
              </w:rPr>
            </w:pPr>
            <w:r w:rsidRPr="00A37013">
              <w:rPr>
                <w:rFonts w:ascii="Arial" w:hAnsi="Arial" w:cs="Arial"/>
                <w:sz w:val="18"/>
                <w:szCs w:val="18"/>
              </w:rPr>
              <w:t>60,3504</w:t>
            </w:r>
          </w:p>
        </w:tc>
      </w:tr>
      <w:tr w:rsidR="001726CE" w14:paraId="46519F80" w14:textId="77777777" w:rsidTr="002643B2">
        <w:trPr>
          <w:trHeight w:val="333"/>
        </w:trPr>
        <w:tc>
          <w:tcPr>
            <w:tcW w:w="1560" w:type="dxa"/>
            <w:tcBorders>
              <w:top w:val="nil"/>
              <w:left w:val="single" w:sz="8" w:space="0" w:color="auto"/>
              <w:bottom w:val="single" w:sz="8" w:space="0" w:color="auto"/>
              <w:right w:val="single" w:sz="8" w:space="0" w:color="auto"/>
            </w:tcBorders>
            <w:vAlign w:val="bottom"/>
            <w:hideMark/>
          </w:tcPr>
          <w:p w14:paraId="6CA79291" w14:textId="77777777" w:rsidR="001726CE" w:rsidRDefault="001726CE" w:rsidP="002643B2">
            <w:pPr>
              <w:jc w:val="center"/>
              <w:rPr>
                <w:rFonts w:ascii="Arial" w:hAnsi="Arial" w:cs="Arial"/>
                <w:b/>
                <w:bCs/>
                <w:sz w:val="18"/>
                <w:szCs w:val="18"/>
                <w:highlight w:val="yellow"/>
              </w:rPr>
            </w:pPr>
            <w:r>
              <w:rPr>
                <w:rFonts w:ascii="Arial" w:hAnsi="Arial" w:cs="Arial"/>
                <w:b/>
                <w:bCs/>
                <w:sz w:val="18"/>
                <w:szCs w:val="18"/>
              </w:rPr>
              <w:t>Celkem 2021</w:t>
            </w:r>
          </w:p>
        </w:tc>
        <w:tc>
          <w:tcPr>
            <w:tcW w:w="25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AEABB3" w14:textId="77777777" w:rsidR="001726CE" w:rsidRPr="00A37013" w:rsidRDefault="001726CE" w:rsidP="002643B2">
            <w:pPr>
              <w:spacing w:before="240"/>
              <w:ind w:right="502"/>
              <w:jc w:val="right"/>
              <w:rPr>
                <w:rFonts w:ascii="Arial" w:hAnsi="Arial" w:cs="Arial"/>
                <w:b/>
                <w:sz w:val="18"/>
                <w:szCs w:val="18"/>
              </w:rPr>
            </w:pPr>
            <w:r w:rsidRPr="00A37013">
              <w:rPr>
                <w:rFonts w:ascii="Arial" w:hAnsi="Arial" w:cs="Arial"/>
                <w:b/>
                <w:sz w:val="18"/>
                <w:szCs w:val="18"/>
              </w:rPr>
              <w:t>2 508 655 908</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0EFDE8F1" w14:textId="77777777" w:rsidR="001726CE" w:rsidRPr="00A37013" w:rsidRDefault="001726CE" w:rsidP="002643B2">
            <w:pPr>
              <w:spacing w:before="240"/>
              <w:ind w:right="502"/>
              <w:jc w:val="right"/>
              <w:rPr>
                <w:rFonts w:ascii="Arial" w:hAnsi="Arial" w:cs="Arial"/>
                <w:b/>
                <w:sz w:val="18"/>
                <w:szCs w:val="18"/>
              </w:rPr>
            </w:pPr>
            <w:r w:rsidRPr="00A37013">
              <w:rPr>
                <w:rFonts w:ascii="Arial" w:hAnsi="Arial" w:cs="Arial"/>
                <w:b/>
                <w:sz w:val="18"/>
                <w:szCs w:val="18"/>
              </w:rPr>
              <w:t>147 406 331</w:t>
            </w:r>
          </w:p>
        </w:tc>
        <w:tc>
          <w:tcPr>
            <w:tcW w:w="1700" w:type="dxa"/>
            <w:gridSpan w:val="2"/>
            <w:tcBorders>
              <w:top w:val="single" w:sz="4" w:space="0" w:color="auto"/>
              <w:left w:val="nil"/>
              <w:bottom w:val="single" w:sz="4" w:space="0" w:color="auto"/>
              <w:right w:val="single" w:sz="4" w:space="0" w:color="auto"/>
            </w:tcBorders>
            <w:shd w:val="clear" w:color="000000" w:fill="FFFFFF"/>
            <w:vAlign w:val="bottom"/>
            <w:hideMark/>
          </w:tcPr>
          <w:p w14:paraId="3DDE2338" w14:textId="77777777" w:rsidR="001726CE" w:rsidRPr="00A37013" w:rsidRDefault="001726CE" w:rsidP="002643B2">
            <w:pPr>
              <w:spacing w:before="240"/>
              <w:ind w:right="502"/>
              <w:jc w:val="right"/>
              <w:rPr>
                <w:rFonts w:ascii="Arial" w:hAnsi="Arial" w:cs="Arial"/>
                <w:b/>
                <w:sz w:val="18"/>
                <w:szCs w:val="18"/>
              </w:rPr>
            </w:pPr>
            <w:r w:rsidRPr="00A37013">
              <w:rPr>
                <w:rFonts w:ascii="Arial" w:hAnsi="Arial" w:cs="Arial"/>
                <w:b/>
                <w:sz w:val="18"/>
                <w:szCs w:val="18"/>
              </w:rPr>
              <w:t>214 229 335</w:t>
            </w:r>
          </w:p>
        </w:tc>
        <w:tc>
          <w:tcPr>
            <w:tcW w:w="1558" w:type="dxa"/>
            <w:tcBorders>
              <w:top w:val="single" w:sz="8" w:space="0" w:color="auto"/>
              <w:left w:val="single" w:sz="8" w:space="0" w:color="auto"/>
              <w:bottom w:val="single" w:sz="8" w:space="0" w:color="auto"/>
              <w:right w:val="single" w:sz="8" w:space="0" w:color="auto"/>
            </w:tcBorders>
            <w:noWrap/>
            <w:vAlign w:val="bottom"/>
            <w:hideMark/>
          </w:tcPr>
          <w:p w14:paraId="0DF9E1A1" w14:textId="77777777" w:rsidR="001726CE" w:rsidRPr="00A37013" w:rsidRDefault="001726CE" w:rsidP="002643B2">
            <w:pPr>
              <w:spacing w:before="240"/>
              <w:ind w:right="210"/>
              <w:jc w:val="right"/>
              <w:rPr>
                <w:rFonts w:ascii="Arial" w:hAnsi="Arial" w:cs="Arial"/>
                <w:b/>
                <w:bCs/>
                <w:sz w:val="18"/>
                <w:szCs w:val="18"/>
              </w:rPr>
            </w:pPr>
            <w:r w:rsidRPr="00A37013">
              <w:rPr>
                <w:rFonts w:ascii="Arial" w:hAnsi="Arial" w:cs="Arial"/>
                <w:b/>
                <w:bCs/>
                <w:sz w:val="18"/>
                <w:szCs w:val="18"/>
              </w:rPr>
              <w:t>15 924,2700</w:t>
            </w:r>
          </w:p>
        </w:tc>
      </w:tr>
    </w:tbl>
    <w:p w14:paraId="4460CC50" w14:textId="77777777" w:rsidR="001726CE" w:rsidRPr="00C34B85" w:rsidRDefault="001726CE" w:rsidP="00C34B85">
      <w:pPr>
        <w:pStyle w:val="KUJKnormal"/>
      </w:pPr>
    </w:p>
    <w:p w14:paraId="508AF898" w14:textId="77777777" w:rsidR="001726CE" w:rsidRDefault="001726CE" w:rsidP="00D77DEC">
      <w:pPr>
        <w:pStyle w:val="KUJKnormal"/>
      </w:pPr>
    </w:p>
    <w:p w14:paraId="7E6FCFC2" w14:textId="77777777" w:rsidR="001726CE" w:rsidRDefault="001726CE" w:rsidP="00D77DEC">
      <w:pPr>
        <w:pStyle w:val="KUJKnormal"/>
      </w:pPr>
    </w:p>
    <w:p w14:paraId="22823EF0" w14:textId="77777777" w:rsidR="001726CE" w:rsidRDefault="001726CE" w:rsidP="00D77DEC">
      <w:pPr>
        <w:pStyle w:val="KUJKnormal"/>
      </w:pPr>
      <w:r>
        <w:t>Finanční nároky a krytí:</w:t>
      </w:r>
      <w:r w:rsidRPr="00AB45E3">
        <w:t xml:space="preserve"> Jedná se o finanční prostředky ze státního rozpočtu, nemají vliv na rozpočet kraje.</w:t>
      </w:r>
    </w:p>
    <w:p w14:paraId="79B54198" w14:textId="77777777" w:rsidR="001726CE" w:rsidRDefault="001726CE" w:rsidP="00D77DEC">
      <w:pPr>
        <w:pStyle w:val="KUJKnormal"/>
      </w:pPr>
    </w:p>
    <w:p w14:paraId="39A25E34" w14:textId="77777777" w:rsidR="001726CE" w:rsidRDefault="001726CE" w:rsidP="00D77DEC">
      <w:pPr>
        <w:pStyle w:val="KUJKnormal"/>
      </w:pPr>
    </w:p>
    <w:p w14:paraId="2504BFA4" w14:textId="77777777" w:rsidR="001726CE" w:rsidRDefault="001726CE" w:rsidP="00390592">
      <w:pPr>
        <w:pStyle w:val="KUJKnormal"/>
      </w:pPr>
      <w:r>
        <w:lastRenderedPageBreak/>
        <w:t>Vyjádření správce rozpočtu:</w:t>
      </w:r>
      <w:r w:rsidRPr="00390592">
        <w:t xml:space="preserve"> </w:t>
      </w:r>
      <w:r>
        <w:t>Bc. Blanka Klímová</w:t>
      </w:r>
      <w:r w:rsidRPr="007666AA">
        <w:t xml:space="preserve"> - </w:t>
      </w:r>
      <w:r>
        <w:t>Ekonomický odbor (OEKO):</w:t>
      </w:r>
      <w:r w:rsidRPr="007666AA">
        <w:t xml:space="preserve"> </w:t>
      </w:r>
      <w:r>
        <w:t>Souhlasím</w:t>
      </w:r>
      <w:r w:rsidRPr="007666AA">
        <w:t xml:space="preserve"> - </w:t>
      </w:r>
      <w:r>
        <w:t xml:space="preserve">hrazeno z dotace ze státního rozpočtu (UZ 33 353). Návazně na navýšení dotace vyplývající z 3. úpravy předloženo radě kraje dne 25. 8. 2021 rozpočtové opatření.  </w:t>
      </w:r>
    </w:p>
    <w:p w14:paraId="4238CCBF" w14:textId="77777777" w:rsidR="001726CE" w:rsidRDefault="001726CE" w:rsidP="00D77DEC">
      <w:pPr>
        <w:pStyle w:val="KUJKnormal"/>
      </w:pPr>
    </w:p>
    <w:p w14:paraId="181390E2" w14:textId="77777777" w:rsidR="001726CE" w:rsidRDefault="001726CE" w:rsidP="00D77DEC">
      <w:pPr>
        <w:pStyle w:val="KUJKnormal"/>
      </w:pPr>
    </w:p>
    <w:p w14:paraId="41A9EB3E" w14:textId="77777777" w:rsidR="001726CE" w:rsidRDefault="001726CE" w:rsidP="00D77DEC">
      <w:pPr>
        <w:pStyle w:val="KUJKnormal"/>
      </w:pPr>
    </w:p>
    <w:p w14:paraId="2EB28BC1" w14:textId="77777777" w:rsidR="001726CE" w:rsidRDefault="001726CE" w:rsidP="00D77DEC">
      <w:pPr>
        <w:pStyle w:val="KUJKnormal"/>
      </w:pPr>
      <w:r>
        <w:t>Návrh projednán (stanoviska): radou kraje dne 25. 8. 2021</w:t>
      </w:r>
    </w:p>
    <w:p w14:paraId="12A849FA" w14:textId="77777777" w:rsidR="001726CE" w:rsidRDefault="001726CE" w:rsidP="00D77DEC">
      <w:pPr>
        <w:pStyle w:val="KUJKnormal"/>
      </w:pPr>
    </w:p>
    <w:p w14:paraId="5D2AADA5" w14:textId="77777777" w:rsidR="001726CE" w:rsidRDefault="001726CE" w:rsidP="00D77DEC">
      <w:pPr>
        <w:pStyle w:val="KUJKnormal"/>
      </w:pPr>
    </w:p>
    <w:p w14:paraId="49548B20" w14:textId="77777777" w:rsidR="001726CE" w:rsidRPr="007939A8" w:rsidRDefault="001726CE" w:rsidP="00D77DEC">
      <w:pPr>
        <w:pStyle w:val="KUJKtucny"/>
      </w:pPr>
      <w:r w:rsidRPr="007939A8">
        <w:t>PŘÍLOHY:</w:t>
      </w:r>
    </w:p>
    <w:p w14:paraId="4B6A31F3" w14:textId="77777777" w:rsidR="001726CE" w:rsidRPr="00B52AA9" w:rsidRDefault="001726CE" w:rsidP="00AB45E3">
      <w:pPr>
        <w:pStyle w:val="KUJKcislovany"/>
        <w:numPr>
          <w:ilvl w:val="0"/>
          <w:numId w:val="0"/>
        </w:numPr>
        <w:ind w:left="284" w:hanging="284"/>
      </w:pPr>
      <w:r>
        <w:t>3. úprava rozpočtu 2021</w:t>
      </w:r>
    </w:p>
    <w:p w14:paraId="440B23A0" w14:textId="77777777" w:rsidR="001726CE" w:rsidRDefault="001726CE" w:rsidP="00D77DEC">
      <w:pPr>
        <w:pStyle w:val="KUJKnormal"/>
      </w:pPr>
    </w:p>
    <w:p w14:paraId="7A627DA0" w14:textId="77777777" w:rsidR="001726CE" w:rsidRDefault="001726CE" w:rsidP="00D77DEC">
      <w:pPr>
        <w:pStyle w:val="KUJKnormal"/>
      </w:pPr>
    </w:p>
    <w:p w14:paraId="2F7A4E6C" w14:textId="77777777" w:rsidR="001726CE" w:rsidRPr="007C1EE7" w:rsidRDefault="001726CE" w:rsidP="00D77DEC">
      <w:pPr>
        <w:pStyle w:val="KUJKtucny"/>
      </w:pPr>
      <w:r w:rsidRPr="007C1EE7">
        <w:t>Zodpovídá:</w:t>
      </w:r>
      <w:r w:rsidRPr="007C1739">
        <w:t xml:space="preserve"> </w:t>
      </w:r>
      <w:r w:rsidRPr="007C1739">
        <w:rPr>
          <w:b w:val="0"/>
          <w:bCs/>
        </w:rPr>
        <w:t>vedoucí OŠMT - Ing. Hana Šímová</w:t>
      </w:r>
    </w:p>
    <w:p w14:paraId="021F6346" w14:textId="77777777" w:rsidR="001726CE" w:rsidRDefault="001726CE" w:rsidP="00D77DEC">
      <w:pPr>
        <w:pStyle w:val="KUJKnormal"/>
      </w:pPr>
    </w:p>
    <w:p w14:paraId="09302656" w14:textId="77777777" w:rsidR="001726CE" w:rsidRDefault="001726CE" w:rsidP="00D77DEC">
      <w:pPr>
        <w:pStyle w:val="KUJKnormal"/>
      </w:pPr>
      <w:r>
        <w:t>Termín kontroly: 26. srpna 2021</w:t>
      </w:r>
    </w:p>
    <w:p w14:paraId="173B63AD" w14:textId="77777777" w:rsidR="001726CE" w:rsidRDefault="001726CE" w:rsidP="00D77DEC">
      <w:pPr>
        <w:pStyle w:val="KUJKnormal"/>
      </w:pPr>
      <w:r>
        <w:t>Termín splnění: 9. září 2021</w:t>
      </w:r>
    </w:p>
    <w:p w14:paraId="5C6B9152" w14:textId="77777777" w:rsidR="001726CE" w:rsidRDefault="001726C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F974" w14:textId="77777777" w:rsidR="006D4864" w:rsidRDefault="006D4864" w:rsidP="002C5539">
      <w:r>
        <w:separator/>
      </w:r>
    </w:p>
  </w:endnote>
  <w:endnote w:type="continuationSeparator" w:id="0">
    <w:p w14:paraId="2C3E7275" w14:textId="77777777" w:rsidR="006D4864" w:rsidRDefault="006D486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D486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D486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5D01" w14:textId="77777777" w:rsidR="006D4864" w:rsidRDefault="006D4864" w:rsidP="002C5539">
      <w:r>
        <w:separator/>
      </w:r>
    </w:p>
  </w:footnote>
  <w:footnote w:type="continuationSeparator" w:id="0">
    <w:p w14:paraId="509DED42" w14:textId="77777777" w:rsidR="006D4864" w:rsidRDefault="006D486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B023" w14:textId="77777777" w:rsidR="001726CE" w:rsidRDefault="001726CE" w:rsidP="001726CE">
    <w:r>
      <w:rPr>
        <w:noProof/>
      </w:rPr>
      <w:pict w14:anchorId="74719DA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0725A05" w14:textId="77777777" w:rsidR="001726CE" w:rsidRPr="00D405BE" w:rsidRDefault="001726CE" w:rsidP="001726CE">
                <w:pPr>
                  <w:spacing w:after="60"/>
                  <w:rPr>
                    <w:rFonts w:cs="Arial"/>
                    <w:b/>
                    <w:sz w:val="22"/>
                  </w:rPr>
                </w:pPr>
                <w:r w:rsidRPr="00D405BE">
                  <w:rPr>
                    <w:rFonts w:cs="Arial"/>
                    <w:b/>
                    <w:sz w:val="22"/>
                  </w:rPr>
                  <w:t>ZASTUPITELSTVO JIHOČESKÉHO KRAJE</w:t>
                </w:r>
              </w:p>
              <w:p w14:paraId="3DF41854" w14:textId="77777777" w:rsidR="001726CE" w:rsidRPr="00D405BE" w:rsidRDefault="001726CE" w:rsidP="001726CE">
                <w:pPr>
                  <w:spacing w:after="60"/>
                  <w:rPr>
                    <w:rFonts w:cs="Arial"/>
                    <w:sz w:val="22"/>
                  </w:rPr>
                </w:pPr>
                <w:r w:rsidRPr="00D405BE">
                  <w:rPr>
                    <w:rFonts w:cs="Arial"/>
                    <w:sz w:val="22"/>
                  </w:rPr>
                  <w:t>NÁVRH USNESENÍ</w:t>
                </w:r>
              </w:p>
            </w:txbxContent>
          </v:textbox>
        </v:shape>
      </w:pict>
    </w:r>
    <w:r>
      <w:rPr>
        <w:noProof/>
      </w:rPr>
    </w:r>
    <w:r>
      <w:pict w14:anchorId="720751D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DDB4853">
        <v:rect id="_x0000_i1026" style="width:481.9pt;height:2pt" o:hralign="center" o:hrstd="t" o:hrnoshade="t" o:hr="t" fillcolor="black" stroked="f"/>
      </w:pict>
    </w:r>
  </w:p>
  <w:p w14:paraId="6B739732" w14:textId="77777777" w:rsidR="001726CE" w:rsidRPr="001726CE" w:rsidRDefault="001726CE" w:rsidP="001726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6CE"/>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4864"/>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2C8"/>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customStyle="1" w:styleId="Default">
    <w:name w:val="Default"/>
    <w:rsid w:val="001726CE"/>
    <w:pPr>
      <w:autoSpaceDE w:val="0"/>
      <w:autoSpaceDN w:val="0"/>
      <w:adjustRightInd w:val="0"/>
    </w:pPr>
    <w:rPr>
      <w:rFonts w:ascii="Times New Roman" w:hAnsi="Times New Roman"/>
      <w:color w:val="000000"/>
      <w:sz w:val="24"/>
      <w:szCs w:val="24"/>
    </w:rPr>
  </w:style>
  <w:style w:type="character" w:styleId="Hypertextovodkaz">
    <w:name w:val="Hyperlink"/>
    <w:uiPriority w:val="99"/>
    <w:semiHidden/>
    <w:unhideWhenUsed/>
    <w:rsid w:val="001726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5812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2026-01-30T10:05:00Z</dcterms:created>
  <dcterms:modified xsi:type="dcterms:W3CDTF">2026-01-30T10:05:00Z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5729240</vt:i4>
  </property>
  <property fmtid="{D5CDD505-2E9C-101B-9397-08002B2CF9AE}" pid="5" name="UlozitJako">
    <vt:lpwstr>C:\Users\mrazkova\AppData\Local\Temp\iU83538456\Zastupitelstvo\2021-09-09\Navrhy\288-ZK-21.</vt:lpwstr>
  </property>
  <property fmtid="{D5CDD505-2E9C-101B-9397-08002B2CF9AE}" pid="6" name="Zpracovat">
    <vt:bool>false</vt:bool>
  </property>
</Properties>
</file>