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CF0CF8" w14:paraId="776CF91C" w14:textId="77777777" w:rsidTr="00E76D36">
        <w:trPr>
          <w:trHeight w:hRule="exact" w:val="397"/>
        </w:trPr>
        <w:tc>
          <w:tcPr>
            <w:tcW w:w="2376" w:type="dxa"/>
            <w:hideMark/>
          </w:tcPr>
          <w:p w14:paraId="181FF2A3" w14:textId="77777777" w:rsidR="00CF0CF8" w:rsidRDefault="00CF0CF8" w:rsidP="009B15ED">
            <w:pPr>
              <w:pStyle w:val="KUJKtucny"/>
            </w:pPr>
            <w:r>
              <w:t>Datum jednání:</w:t>
            </w:r>
          </w:p>
        </w:tc>
        <w:tc>
          <w:tcPr>
            <w:tcW w:w="3828" w:type="dxa"/>
            <w:hideMark/>
          </w:tcPr>
          <w:p w14:paraId="1CAC1C73" w14:textId="77777777" w:rsidR="00CF0CF8" w:rsidRDefault="00CF0CF8" w:rsidP="009B15ED">
            <w:pPr>
              <w:pStyle w:val="KUJKnormal"/>
            </w:pPr>
            <w:r>
              <w:t>24. 06. 2021</w:t>
            </w:r>
          </w:p>
        </w:tc>
        <w:tc>
          <w:tcPr>
            <w:tcW w:w="2126" w:type="dxa"/>
            <w:hideMark/>
          </w:tcPr>
          <w:p w14:paraId="11CC3B53" w14:textId="77777777" w:rsidR="00CF0CF8" w:rsidRDefault="00CF0CF8" w:rsidP="009B15ED">
            <w:pPr>
              <w:pStyle w:val="KUJKtucny"/>
            </w:pPr>
            <w:r>
              <w:t>Bod programu:</w:t>
            </w:r>
          </w:p>
        </w:tc>
        <w:tc>
          <w:tcPr>
            <w:tcW w:w="850" w:type="dxa"/>
          </w:tcPr>
          <w:p w14:paraId="630CA6EF" w14:textId="77777777" w:rsidR="00CF0CF8" w:rsidRDefault="00CF0CF8" w:rsidP="009B15ED">
            <w:pPr>
              <w:pStyle w:val="KUJKnormal"/>
            </w:pPr>
          </w:p>
        </w:tc>
      </w:tr>
      <w:tr w:rsidR="00CF0CF8" w14:paraId="4D7AC823" w14:textId="77777777" w:rsidTr="00E76D36">
        <w:trPr>
          <w:cantSplit/>
          <w:trHeight w:hRule="exact" w:val="397"/>
        </w:trPr>
        <w:tc>
          <w:tcPr>
            <w:tcW w:w="2376" w:type="dxa"/>
            <w:hideMark/>
          </w:tcPr>
          <w:p w14:paraId="2A9DA2A8" w14:textId="77777777" w:rsidR="00CF0CF8" w:rsidRDefault="00CF0CF8" w:rsidP="009B15ED">
            <w:pPr>
              <w:pStyle w:val="KUJKtucny"/>
            </w:pPr>
            <w:r>
              <w:t>Číslo návrhu:</w:t>
            </w:r>
          </w:p>
        </w:tc>
        <w:tc>
          <w:tcPr>
            <w:tcW w:w="6804" w:type="dxa"/>
            <w:gridSpan w:val="3"/>
            <w:hideMark/>
          </w:tcPr>
          <w:p w14:paraId="7C75C7B1" w14:textId="77777777" w:rsidR="00CF0CF8" w:rsidRDefault="00CF0CF8" w:rsidP="009B15ED">
            <w:pPr>
              <w:pStyle w:val="KUJKnormal"/>
            </w:pPr>
            <w:r>
              <w:t>272/ZK/21</w:t>
            </w:r>
          </w:p>
        </w:tc>
      </w:tr>
      <w:tr w:rsidR="00CF0CF8" w14:paraId="00787CA6" w14:textId="77777777" w:rsidTr="00E76D36">
        <w:trPr>
          <w:trHeight w:val="397"/>
        </w:trPr>
        <w:tc>
          <w:tcPr>
            <w:tcW w:w="2376" w:type="dxa"/>
          </w:tcPr>
          <w:p w14:paraId="7A5CC3D9" w14:textId="77777777" w:rsidR="00CF0CF8" w:rsidRDefault="00CF0CF8" w:rsidP="009B15ED"/>
          <w:p w14:paraId="53D25391" w14:textId="77777777" w:rsidR="00CF0CF8" w:rsidRDefault="00CF0CF8" w:rsidP="009B15ED">
            <w:pPr>
              <w:pStyle w:val="KUJKtucny"/>
            </w:pPr>
            <w:r>
              <w:t>Název bodu:</w:t>
            </w:r>
          </w:p>
        </w:tc>
        <w:tc>
          <w:tcPr>
            <w:tcW w:w="6804" w:type="dxa"/>
            <w:gridSpan w:val="3"/>
          </w:tcPr>
          <w:p w14:paraId="46DCC5B4" w14:textId="77777777" w:rsidR="00CF0CF8" w:rsidRDefault="00CF0CF8" w:rsidP="009B15ED"/>
          <w:p w14:paraId="1E99770A" w14:textId="77777777" w:rsidR="00CF0CF8" w:rsidRDefault="00CF0CF8" w:rsidP="009B15ED">
            <w:pPr>
              <w:pStyle w:val="KUJKtucny"/>
              <w:rPr>
                <w:sz w:val="22"/>
                <w:szCs w:val="22"/>
              </w:rPr>
            </w:pPr>
            <w:r>
              <w:rPr>
                <w:sz w:val="22"/>
                <w:szCs w:val="22"/>
              </w:rPr>
              <w:t>Digitální technická mapa Jihočeského kraje – informace o stavu projektu</w:t>
            </w:r>
          </w:p>
        </w:tc>
      </w:tr>
    </w:tbl>
    <w:p w14:paraId="2952A0C2" w14:textId="77777777" w:rsidR="00CF0CF8" w:rsidRDefault="00CF0CF8" w:rsidP="00E76D36">
      <w:pPr>
        <w:pStyle w:val="KUJKnormal"/>
        <w:rPr>
          <w:b/>
          <w:bCs/>
        </w:rPr>
      </w:pPr>
      <w:r>
        <w:rPr>
          <w:b/>
          <w:bCs/>
        </w:rPr>
        <w:pict w14:anchorId="45756698">
          <v:rect id="_x0000_i1029" style="width:453.6pt;height:1.5pt" o:hralign="center" o:hrstd="t" o:hrnoshade="t" o:hr="t" fillcolor="black" stroked="f"/>
        </w:pict>
      </w:r>
    </w:p>
    <w:p w14:paraId="61EDEBA5" w14:textId="77777777" w:rsidR="00CF0CF8" w:rsidRDefault="00CF0CF8" w:rsidP="00E76D36">
      <w:pPr>
        <w:pStyle w:val="KUJKnormal"/>
      </w:pPr>
    </w:p>
    <w:p w14:paraId="7F7614FB" w14:textId="77777777" w:rsidR="00CF0CF8" w:rsidRDefault="00CF0CF8" w:rsidP="00E76D36">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CF0CF8" w14:paraId="317ABFB2" w14:textId="77777777" w:rsidTr="009B15ED">
        <w:trPr>
          <w:trHeight w:val="397"/>
        </w:trPr>
        <w:tc>
          <w:tcPr>
            <w:tcW w:w="2350" w:type="dxa"/>
            <w:hideMark/>
          </w:tcPr>
          <w:p w14:paraId="700FE940" w14:textId="77777777" w:rsidR="00CF0CF8" w:rsidRDefault="00CF0CF8" w:rsidP="009B15ED">
            <w:pPr>
              <w:pStyle w:val="KUJKtucny"/>
            </w:pPr>
            <w:r>
              <w:t>Předkladatel:</w:t>
            </w:r>
          </w:p>
        </w:tc>
        <w:tc>
          <w:tcPr>
            <w:tcW w:w="6862" w:type="dxa"/>
          </w:tcPr>
          <w:p w14:paraId="2D74370F" w14:textId="77777777" w:rsidR="00CF0CF8" w:rsidRDefault="00CF0CF8" w:rsidP="009B15ED">
            <w:pPr>
              <w:pStyle w:val="KUJKnormal"/>
            </w:pPr>
            <w:r>
              <w:t>doc. Ing. Lucie Kozlová, Ph.D.</w:t>
            </w:r>
          </w:p>
          <w:p w14:paraId="5E710933" w14:textId="77777777" w:rsidR="00CF0CF8" w:rsidRDefault="00CF0CF8" w:rsidP="009B15ED"/>
        </w:tc>
      </w:tr>
      <w:tr w:rsidR="00CF0CF8" w14:paraId="101F675D" w14:textId="77777777" w:rsidTr="009B15ED">
        <w:trPr>
          <w:trHeight w:val="397"/>
        </w:trPr>
        <w:tc>
          <w:tcPr>
            <w:tcW w:w="2350" w:type="dxa"/>
          </w:tcPr>
          <w:p w14:paraId="4D18E528" w14:textId="77777777" w:rsidR="00CF0CF8" w:rsidRDefault="00CF0CF8" w:rsidP="009B15ED">
            <w:pPr>
              <w:pStyle w:val="KUJKtucny"/>
            </w:pPr>
            <w:r>
              <w:t>Zpracoval:</w:t>
            </w:r>
          </w:p>
          <w:p w14:paraId="4F1C1309" w14:textId="77777777" w:rsidR="00CF0CF8" w:rsidRDefault="00CF0CF8" w:rsidP="009B15ED"/>
        </w:tc>
        <w:tc>
          <w:tcPr>
            <w:tcW w:w="6862" w:type="dxa"/>
            <w:hideMark/>
          </w:tcPr>
          <w:p w14:paraId="03132281" w14:textId="77777777" w:rsidR="00CF0CF8" w:rsidRDefault="00CF0CF8" w:rsidP="009B15ED">
            <w:pPr>
              <w:pStyle w:val="KUJKnormal"/>
            </w:pPr>
            <w:r>
              <w:t>OINF</w:t>
            </w:r>
          </w:p>
        </w:tc>
      </w:tr>
      <w:tr w:rsidR="00CF0CF8" w14:paraId="036DF2E3" w14:textId="77777777" w:rsidTr="009B15ED">
        <w:trPr>
          <w:trHeight w:val="397"/>
        </w:trPr>
        <w:tc>
          <w:tcPr>
            <w:tcW w:w="2350" w:type="dxa"/>
          </w:tcPr>
          <w:p w14:paraId="1FCD0C9E" w14:textId="77777777" w:rsidR="00CF0CF8" w:rsidRPr="009715F9" w:rsidRDefault="00CF0CF8" w:rsidP="009B15ED">
            <w:pPr>
              <w:pStyle w:val="KUJKnormal"/>
              <w:rPr>
                <w:b/>
              </w:rPr>
            </w:pPr>
            <w:r w:rsidRPr="009715F9">
              <w:rPr>
                <w:b/>
              </w:rPr>
              <w:t>Vedoucí odboru:</w:t>
            </w:r>
          </w:p>
          <w:p w14:paraId="1869CBDD" w14:textId="77777777" w:rsidR="00CF0CF8" w:rsidRDefault="00CF0CF8" w:rsidP="009B15ED"/>
        </w:tc>
        <w:tc>
          <w:tcPr>
            <w:tcW w:w="6862" w:type="dxa"/>
            <w:hideMark/>
          </w:tcPr>
          <w:p w14:paraId="2DBE952F" w14:textId="77777777" w:rsidR="00CF0CF8" w:rsidRDefault="00CF0CF8" w:rsidP="009B15ED">
            <w:pPr>
              <w:pStyle w:val="KUJKnormal"/>
            </w:pPr>
            <w:r>
              <w:t>Ing. Petr Vobejda</w:t>
            </w:r>
          </w:p>
        </w:tc>
      </w:tr>
    </w:tbl>
    <w:p w14:paraId="2C0B9488" w14:textId="77777777" w:rsidR="00CF0CF8" w:rsidRDefault="00CF0CF8" w:rsidP="00E76D36">
      <w:pPr>
        <w:pStyle w:val="KUJKnormal"/>
      </w:pPr>
    </w:p>
    <w:p w14:paraId="534DE35F" w14:textId="77777777" w:rsidR="00CF0CF8" w:rsidRPr="0052161F" w:rsidRDefault="00CF0CF8" w:rsidP="00E76D36">
      <w:pPr>
        <w:pStyle w:val="KUJKtucny"/>
      </w:pPr>
      <w:r w:rsidRPr="0052161F">
        <w:t>NÁVRH USNESENÍ</w:t>
      </w:r>
    </w:p>
    <w:p w14:paraId="6E1895AA" w14:textId="77777777" w:rsidR="00CF0CF8" w:rsidRDefault="00CF0CF8" w:rsidP="00E76D36">
      <w:pPr>
        <w:pStyle w:val="KUJKnormal"/>
        <w:rPr>
          <w:rFonts w:ascii="Calibri" w:hAnsi="Calibri" w:cs="Calibri"/>
          <w:sz w:val="12"/>
          <w:szCs w:val="12"/>
        </w:rPr>
      </w:pPr>
      <w:bookmarkStart w:id="1" w:name="US_ZaVeVeci"/>
      <w:bookmarkEnd w:id="1"/>
    </w:p>
    <w:p w14:paraId="40329903" w14:textId="77777777" w:rsidR="00CF0CF8" w:rsidRPr="00841DFC" w:rsidRDefault="00CF0CF8" w:rsidP="00CF0CF8">
      <w:pPr>
        <w:pStyle w:val="KUJKPolozka"/>
        <w:spacing w:line="240" w:lineRule="auto"/>
      </w:pPr>
      <w:r w:rsidRPr="00841DFC">
        <w:t>Zastupitelstvo Jihočeského kraje</w:t>
      </w:r>
    </w:p>
    <w:p w14:paraId="7024E479" w14:textId="77777777" w:rsidR="00CF0CF8" w:rsidRDefault="00CF0CF8" w:rsidP="00CF0CF8">
      <w:pPr>
        <w:pStyle w:val="KUJKdoplnek2"/>
        <w:spacing w:line="240" w:lineRule="auto"/>
        <w:ind w:left="357" w:hanging="357"/>
      </w:pPr>
      <w:r w:rsidRPr="00730306">
        <w:t>bere na vědomí</w:t>
      </w:r>
    </w:p>
    <w:p w14:paraId="525DF4BC" w14:textId="77777777" w:rsidR="00CF0CF8" w:rsidRDefault="00CF0CF8" w:rsidP="003477AF">
      <w:pPr>
        <w:pStyle w:val="KUJKnormal"/>
      </w:pPr>
      <w:r w:rsidRPr="003477AF">
        <w:t>informaci o stavu projektu „Digitální technická mapa Jihočeského kraje“, o nutnosti realizovat změny ve studii proveditelnosti a rozpočtu projektu a o vydání Rozhodnutí o poskytnutí dotace pro projekt „Digitální technická mapa Jihočeského kraje“ ve III. výzvě na „Vznik a rozvoj digitálních technických map krajů“ v</w:t>
      </w:r>
      <w:r>
        <w:t> </w:t>
      </w:r>
      <w:r w:rsidRPr="003477AF">
        <w:t>rámci operačního programu „Podnikání a inovace pro konkurenceschopnost“ v období 2014 – 2020 uvedené v důvodové zprávě a příloze č. 1 návrhu č. 272/ZK/21;</w:t>
      </w:r>
    </w:p>
    <w:p w14:paraId="7982B705" w14:textId="77777777" w:rsidR="00CF0CF8" w:rsidRPr="00E10FE7" w:rsidRDefault="00CF0CF8" w:rsidP="00CF0CF8">
      <w:pPr>
        <w:pStyle w:val="KUJKdoplnek2"/>
        <w:spacing w:line="240" w:lineRule="auto"/>
      </w:pPr>
      <w:r w:rsidRPr="00AF7BAE">
        <w:t>schvaluje</w:t>
      </w:r>
    </w:p>
    <w:p w14:paraId="26B43C25" w14:textId="77777777" w:rsidR="00CF0CF8" w:rsidRDefault="00CF0CF8" w:rsidP="003477AF">
      <w:pPr>
        <w:pStyle w:val="KUJKnormal"/>
      </w:pPr>
      <w:r w:rsidRPr="003477AF">
        <w:t>upravenou studii proveditelnosti projektu „Digitální technická mapa Jihočeského kraje“ podaného do</w:t>
      </w:r>
      <w:r>
        <w:t> </w:t>
      </w:r>
      <w:r w:rsidRPr="003477AF">
        <w:t>III.</w:t>
      </w:r>
      <w:r>
        <w:t> </w:t>
      </w:r>
      <w:r w:rsidRPr="003477AF">
        <w:t>výzvy na „Vznik a rozvoj digitálních technických map krajů“ v rámci operačního programu „Podnikání a</w:t>
      </w:r>
      <w:r>
        <w:t> </w:t>
      </w:r>
      <w:r w:rsidRPr="003477AF">
        <w:t>inovace pro konkurenceschopnost“ v období 2014 – 2020 dle přílohy č. 3 návrhu č. 272/ZK/21;</w:t>
      </w:r>
    </w:p>
    <w:p w14:paraId="6B741EB2" w14:textId="77777777" w:rsidR="00CF0CF8" w:rsidRDefault="00CF0CF8" w:rsidP="00CF0CF8">
      <w:pPr>
        <w:pStyle w:val="KUJKdoplnek2"/>
        <w:spacing w:line="240" w:lineRule="auto"/>
      </w:pPr>
      <w:r w:rsidRPr="0021676C">
        <w:t>ukládá</w:t>
      </w:r>
    </w:p>
    <w:p w14:paraId="60CA88E6" w14:textId="77777777" w:rsidR="00CF0CF8" w:rsidRDefault="00CF0CF8" w:rsidP="003477AF">
      <w:pPr>
        <w:pStyle w:val="KUJKnormal"/>
      </w:pPr>
      <w:r w:rsidRPr="003477AF">
        <w:t>JUDr. Lukáši Glaserovi, pověřenému vedením krajského úřadu, zajistit realizaci usnesení.</w:t>
      </w:r>
    </w:p>
    <w:p w14:paraId="54F2D1AB" w14:textId="77777777" w:rsidR="00CF0CF8" w:rsidRDefault="00CF0CF8" w:rsidP="003477AF">
      <w:pPr>
        <w:pStyle w:val="KUJKnormal"/>
      </w:pPr>
    </w:p>
    <w:p w14:paraId="02627F77" w14:textId="77777777" w:rsidR="00CF0CF8" w:rsidRDefault="00CF0CF8" w:rsidP="003477AF">
      <w:pPr>
        <w:pStyle w:val="KUJKmezeraDZ"/>
      </w:pPr>
      <w:bookmarkStart w:id="2" w:name="US_DuvodZprava"/>
      <w:bookmarkEnd w:id="2"/>
    </w:p>
    <w:p w14:paraId="17C0B2C1" w14:textId="77777777" w:rsidR="00CF0CF8" w:rsidRDefault="00CF0CF8" w:rsidP="003477AF">
      <w:pPr>
        <w:pStyle w:val="KUJKnadpisDZ"/>
      </w:pPr>
      <w:r>
        <w:t>DŮVODOVÁ ZPRÁVA</w:t>
      </w:r>
    </w:p>
    <w:p w14:paraId="56964445" w14:textId="77777777" w:rsidR="00CF0CF8" w:rsidRPr="009B7B0B" w:rsidRDefault="00CF0CF8" w:rsidP="003477AF">
      <w:pPr>
        <w:pStyle w:val="KUJKmezeraDZ"/>
      </w:pPr>
    </w:p>
    <w:p w14:paraId="5DC5F7B6" w14:textId="77777777" w:rsidR="00CF0CF8" w:rsidRDefault="00CF0CF8" w:rsidP="00E068DC">
      <w:pPr>
        <w:jc w:val="both"/>
        <w:rPr>
          <w:rFonts w:ascii="Arial" w:hAnsi="Arial" w:cs="Arial"/>
          <w:szCs w:val="20"/>
        </w:rPr>
      </w:pPr>
      <w:r>
        <w:rPr>
          <w:rFonts w:ascii="Arial" w:hAnsi="Arial" w:cs="Arial"/>
          <w:szCs w:val="20"/>
        </w:rPr>
        <w:t xml:space="preserve">OINF v souladu s předchozími usneseními samosprávných orgánů Jihočeského kraje, zejména s usnesením zastupitelstva kraje č. 38/2020/ZK-3 ze dne 17. 12. 2020, zajistil přípravu a podání žádosti na projekt „Digitální technická mapa Jihočeského kraje“ (DTM JK) do </w:t>
      </w:r>
      <w:bookmarkStart w:id="3" w:name="_Hlk72831693"/>
      <w:r>
        <w:rPr>
          <w:rFonts w:ascii="Arial" w:hAnsi="Arial" w:cs="Arial"/>
          <w:szCs w:val="20"/>
        </w:rPr>
        <w:t>III. výzvy na „Vznik a rozvoj digitálních technických map krajů“ v rámci operačního programu „Podnikání a inovace pro konkurenceschopnost“ (OP PIK) v období 2014 – 2020</w:t>
      </w:r>
      <w:bookmarkEnd w:id="3"/>
      <w:r>
        <w:rPr>
          <w:rFonts w:ascii="Arial" w:hAnsi="Arial" w:cs="Arial"/>
          <w:szCs w:val="20"/>
        </w:rPr>
        <w:t xml:space="preserve">. </w:t>
      </w:r>
    </w:p>
    <w:p w14:paraId="0EBCE97F" w14:textId="77777777" w:rsidR="00CF0CF8" w:rsidRDefault="00CF0CF8" w:rsidP="00E068DC">
      <w:pPr>
        <w:jc w:val="both"/>
        <w:rPr>
          <w:rFonts w:ascii="Arial" w:hAnsi="Arial" w:cs="Arial"/>
          <w:szCs w:val="20"/>
        </w:rPr>
      </w:pPr>
    </w:p>
    <w:p w14:paraId="00566197" w14:textId="77777777" w:rsidR="00CF0CF8" w:rsidRDefault="00CF0CF8" w:rsidP="00E068DC">
      <w:pPr>
        <w:jc w:val="both"/>
        <w:rPr>
          <w:rFonts w:ascii="Arial" w:hAnsi="Arial" w:cs="Arial"/>
          <w:szCs w:val="20"/>
        </w:rPr>
      </w:pPr>
      <w:r>
        <w:rPr>
          <w:rFonts w:ascii="Arial" w:hAnsi="Arial" w:cs="Arial"/>
          <w:szCs w:val="20"/>
        </w:rPr>
        <w:t>Projektová žádost Jihočeského kraje splnila formální (18. 3. 2021) i věcné (19. 4. 2021) podmínky hodnocení a dne 28. 4. 2021 byla doporučena Ministerstvem průmyslu a obchodu (MPO) k financování. Dne 17. 5. 2021 obdržel Jihočeský kraj prostřednictvím notifikace v informačním systému ISKP2014+ výzvu k předložení změn v projektu před vydáním Rozhodnutí o poskytnutí dotace. Vzhledem k tomu, že Jihočeský kraj v tuto chvíli nepožádal o realizaci změn v projektu, vydalo MPO dne 27. 5. 2021 Rozhodnutí o poskytnutí dotace pro projekt DTM JK. Rozhodnutí o poskytnutí dotace, viz příloha č</w:t>
      </w:r>
      <w:r w:rsidRPr="00E068DC">
        <w:rPr>
          <w:rFonts w:ascii="Arial" w:hAnsi="Arial" w:cs="Arial"/>
          <w:szCs w:val="20"/>
        </w:rPr>
        <w:t>. 1</w:t>
      </w:r>
      <w:r>
        <w:rPr>
          <w:rFonts w:ascii="Arial" w:hAnsi="Arial" w:cs="Arial"/>
          <w:szCs w:val="20"/>
        </w:rPr>
        <w:t xml:space="preserve"> tohoto materiálu.</w:t>
      </w:r>
    </w:p>
    <w:p w14:paraId="0CEA9707" w14:textId="77777777" w:rsidR="00CF0CF8" w:rsidRDefault="00CF0CF8" w:rsidP="00E068DC">
      <w:pPr>
        <w:jc w:val="both"/>
        <w:rPr>
          <w:rFonts w:ascii="Arial" w:hAnsi="Arial" w:cs="Arial"/>
          <w:szCs w:val="20"/>
        </w:rPr>
      </w:pPr>
    </w:p>
    <w:p w14:paraId="1EB0B1BA" w14:textId="77777777" w:rsidR="00CF0CF8" w:rsidRDefault="00CF0CF8" w:rsidP="00E068DC">
      <w:pPr>
        <w:jc w:val="both"/>
        <w:rPr>
          <w:rFonts w:ascii="Arial" w:hAnsi="Arial" w:cs="Arial"/>
          <w:szCs w:val="20"/>
        </w:rPr>
      </w:pPr>
      <w:r>
        <w:rPr>
          <w:rFonts w:ascii="Arial" w:hAnsi="Arial" w:cs="Arial"/>
          <w:szCs w:val="20"/>
        </w:rPr>
        <w:t>V průběhu hodnocení projektu došlo k úpravě (snížení) rozpočtu projektu (způsobilé neinvestiční výdaje) celkem o 1.322.989,-- Kč. Konkrétně se jedná o následující položky rozpočtu vyjádřené ve studii proveditelnosti v kapitole 13:</w:t>
      </w:r>
    </w:p>
    <w:p w14:paraId="7B9EE7AD" w14:textId="77777777" w:rsidR="00CF0CF8" w:rsidRDefault="00CF0CF8" w:rsidP="00CF0CF8">
      <w:pPr>
        <w:numPr>
          <w:ilvl w:val="0"/>
          <w:numId w:val="11"/>
        </w:numPr>
        <w:spacing w:line="240" w:lineRule="auto"/>
        <w:jc w:val="both"/>
        <w:rPr>
          <w:rFonts w:ascii="Arial" w:hAnsi="Arial" w:cs="Arial"/>
          <w:szCs w:val="20"/>
        </w:rPr>
      </w:pPr>
      <w:r>
        <w:rPr>
          <w:rFonts w:ascii="Arial" w:hAnsi="Arial" w:cs="Arial"/>
          <w:szCs w:val="20"/>
        </w:rPr>
        <w:t>1.2.2.1 - zajištění odborného dohledu a dozoru nad kvalitou pořizovaných dat z 1.975.000,-- Kč sníženo na 1.974.720,-- Kč,</w:t>
      </w:r>
    </w:p>
    <w:p w14:paraId="1A2AD4DE" w14:textId="77777777" w:rsidR="00CF0CF8" w:rsidRDefault="00CF0CF8" w:rsidP="00CF0CF8">
      <w:pPr>
        <w:numPr>
          <w:ilvl w:val="0"/>
          <w:numId w:val="11"/>
        </w:numPr>
        <w:spacing w:line="240" w:lineRule="auto"/>
        <w:jc w:val="both"/>
        <w:rPr>
          <w:rFonts w:ascii="Arial" w:hAnsi="Arial" w:cs="Arial"/>
          <w:szCs w:val="20"/>
        </w:rPr>
      </w:pPr>
      <w:r>
        <w:rPr>
          <w:rFonts w:ascii="Arial" w:hAnsi="Arial" w:cs="Arial"/>
          <w:szCs w:val="20"/>
        </w:rPr>
        <w:t>1.2.2.2 - zajištění organizace zadávacích řízení (zpracování zadávacích podmínek a administrace VZ) – nadlimitní nebo podlimitní – z 1.429.494,-- Kč sníženo na 539.508,-- Kč,</w:t>
      </w:r>
    </w:p>
    <w:p w14:paraId="78351200" w14:textId="77777777" w:rsidR="00CF0CF8" w:rsidRDefault="00CF0CF8" w:rsidP="00CF0CF8">
      <w:pPr>
        <w:numPr>
          <w:ilvl w:val="0"/>
          <w:numId w:val="11"/>
        </w:numPr>
        <w:spacing w:line="240" w:lineRule="auto"/>
        <w:jc w:val="both"/>
        <w:rPr>
          <w:rFonts w:ascii="Arial" w:hAnsi="Arial" w:cs="Arial"/>
          <w:szCs w:val="20"/>
        </w:rPr>
      </w:pPr>
      <w:r>
        <w:rPr>
          <w:rFonts w:ascii="Arial" w:hAnsi="Arial" w:cs="Arial"/>
          <w:szCs w:val="20"/>
        </w:rPr>
        <w:t>1.2.2.2 - náklady na zajištění organizace zadávacích řízení (zpracování zadávacích podmínek + administrace VT) – VZMR – položka odstraněna,</w:t>
      </w:r>
    </w:p>
    <w:p w14:paraId="27008389" w14:textId="77777777" w:rsidR="00CF0CF8" w:rsidRDefault="00CF0CF8" w:rsidP="00CF0CF8">
      <w:pPr>
        <w:numPr>
          <w:ilvl w:val="0"/>
          <w:numId w:val="11"/>
        </w:numPr>
        <w:spacing w:line="240" w:lineRule="auto"/>
        <w:jc w:val="both"/>
        <w:rPr>
          <w:rFonts w:ascii="Arial" w:hAnsi="Arial" w:cs="Arial"/>
          <w:szCs w:val="20"/>
        </w:rPr>
      </w:pPr>
      <w:r>
        <w:rPr>
          <w:rFonts w:ascii="Arial" w:hAnsi="Arial" w:cs="Arial"/>
          <w:szCs w:val="20"/>
        </w:rPr>
        <w:t>1.2.2.3 - povinná publicita – z 50.000,-- Kč sníženo na 12.342,-- Kč.</w:t>
      </w:r>
    </w:p>
    <w:p w14:paraId="59C2EA39" w14:textId="77777777" w:rsidR="00CF0CF8" w:rsidRDefault="00CF0CF8" w:rsidP="00E068DC">
      <w:pPr>
        <w:jc w:val="both"/>
        <w:rPr>
          <w:rFonts w:ascii="Arial" w:hAnsi="Arial" w:cs="Arial"/>
          <w:szCs w:val="20"/>
        </w:rPr>
      </w:pPr>
    </w:p>
    <w:p w14:paraId="25A0632D" w14:textId="77777777" w:rsidR="00CF0CF8" w:rsidRDefault="00CF0CF8" w:rsidP="00E068DC">
      <w:pPr>
        <w:jc w:val="both"/>
        <w:rPr>
          <w:rFonts w:ascii="Arial" w:hAnsi="Arial" w:cs="Arial"/>
          <w:szCs w:val="20"/>
        </w:rPr>
      </w:pPr>
      <w:r>
        <w:rPr>
          <w:rFonts w:ascii="Arial" w:hAnsi="Arial" w:cs="Arial"/>
          <w:szCs w:val="20"/>
        </w:rPr>
        <w:t xml:space="preserve">Celkové výdaje projektu po úpravách činí 243.792.841,-- Kč, z toho způsobilé výdaje projektu činí 233.792.841,-- Kč, nezpůsobilé výdaje projektu činí 10.000.000,-- Kč. Bližší podrobnosti k rozpočtu projektu jsou uvedeny v příloze č. </w:t>
      </w:r>
      <w:r w:rsidRPr="00E068DC">
        <w:rPr>
          <w:rFonts w:ascii="Arial" w:hAnsi="Arial" w:cs="Arial"/>
          <w:szCs w:val="20"/>
        </w:rPr>
        <w:t>2 –</w:t>
      </w:r>
      <w:r>
        <w:rPr>
          <w:rFonts w:ascii="Arial" w:hAnsi="Arial" w:cs="Arial"/>
          <w:szCs w:val="20"/>
        </w:rPr>
        <w:t xml:space="preserve"> Formulář evropského projektu – změna č. 1 zpracovaného dle směrnice SM/115/ZK. Rozdíl oproti rozpočtu schválenému zastupitelstvem kraje vyjadřuje následující tabulka:</w:t>
      </w:r>
    </w:p>
    <w:tbl>
      <w:tblPr>
        <w:tblpPr w:leftFromText="141" w:rightFromText="141" w:vertAnchor="text" w:horzAnchor="margin" w:tblpXSpec="center" w:tblpY="169"/>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1"/>
        <w:gridCol w:w="2400"/>
        <w:gridCol w:w="2693"/>
      </w:tblGrid>
      <w:tr w:rsidR="00CF0CF8" w14:paraId="6EC47F63" w14:textId="77777777" w:rsidTr="00E068DC">
        <w:tc>
          <w:tcPr>
            <w:tcW w:w="3271" w:type="dxa"/>
            <w:tcBorders>
              <w:top w:val="single" w:sz="12" w:space="0" w:color="auto"/>
              <w:left w:val="single" w:sz="12" w:space="0" w:color="auto"/>
              <w:bottom w:val="single" w:sz="12" w:space="0" w:color="auto"/>
              <w:right w:val="single" w:sz="4" w:space="0" w:color="auto"/>
            </w:tcBorders>
            <w:hideMark/>
          </w:tcPr>
          <w:p w14:paraId="1509805B" w14:textId="77777777" w:rsidR="00CF0CF8" w:rsidRDefault="00CF0CF8">
            <w:pPr>
              <w:jc w:val="both"/>
              <w:rPr>
                <w:rFonts w:ascii="Arial" w:eastAsia="Times New Roman" w:hAnsi="Arial" w:cs="Arial"/>
                <w:b/>
                <w:bCs/>
                <w:szCs w:val="20"/>
              </w:rPr>
            </w:pPr>
            <w:r>
              <w:rPr>
                <w:rFonts w:ascii="Arial" w:eastAsia="Times New Roman" w:hAnsi="Arial" w:cs="Arial"/>
                <w:b/>
                <w:bCs/>
                <w:szCs w:val="20"/>
              </w:rPr>
              <w:t>Popis:</w:t>
            </w:r>
          </w:p>
        </w:tc>
        <w:tc>
          <w:tcPr>
            <w:tcW w:w="2400" w:type="dxa"/>
            <w:tcBorders>
              <w:top w:val="single" w:sz="12" w:space="0" w:color="auto"/>
              <w:left w:val="single" w:sz="4" w:space="0" w:color="auto"/>
              <w:bottom w:val="single" w:sz="12" w:space="0" w:color="auto"/>
              <w:right w:val="single" w:sz="4" w:space="0" w:color="auto"/>
            </w:tcBorders>
            <w:hideMark/>
          </w:tcPr>
          <w:p w14:paraId="288DCFB8" w14:textId="77777777" w:rsidR="00CF0CF8" w:rsidRDefault="00CF0CF8">
            <w:pPr>
              <w:jc w:val="both"/>
              <w:rPr>
                <w:rFonts w:ascii="Arial" w:eastAsia="Times New Roman" w:hAnsi="Arial" w:cs="Arial"/>
                <w:b/>
                <w:bCs/>
                <w:szCs w:val="20"/>
              </w:rPr>
            </w:pPr>
            <w:r>
              <w:rPr>
                <w:rFonts w:ascii="Arial" w:eastAsia="Times New Roman" w:hAnsi="Arial" w:cs="Arial"/>
                <w:b/>
                <w:bCs/>
                <w:szCs w:val="20"/>
              </w:rPr>
              <w:t>Výše schválená ZK 17.12.2020 usn. č. 38/2020/ZK-3          (Kč)</w:t>
            </w:r>
          </w:p>
        </w:tc>
        <w:tc>
          <w:tcPr>
            <w:tcW w:w="2693" w:type="dxa"/>
            <w:tcBorders>
              <w:top w:val="single" w:sz="12" w:space="0" w:color="auto"/>
              <w:left w:val="single" w:sz="4" w:space="0" w:color="auto"/>
              <w:bottom w:val="single" w:sz="12" w:space="0" w:color="auto"/>
              <w:right w:val="single" w:sz="12" w:space="0" w:color="auto"/>
            </w:tcBorders>
            <w:hideMark/>
          </w:tcPr>
          <w:p w14:paraId="63668335" w14:textId="77777777" w:rsidR="00CF0CF8" w:rsidRDefault="00CF0CF8">
            <w:pPr>
              <w:jc w:val="both"/>
              <w:rPr>
                <w:rFonts w:ascii="Arial" w:eastAsia="Times New Roman" w:hAnsi="Arial" w:cs="Arial"/>
                <w:b/>
                <w:bCs/>
                <w:szCs w:val="20"/>
              </w:rPr>
            </w:pPr>
            <w:r>
              <w:rPr>
                <w:rFonts w:ascii="Arial" w:eastAsia="Times New Roman" w:hAnsi="Arial" w:cs="Arial"/>
                <w:b/>
                <w:bCs/>
                <w:szCs w:val="20"/>
              </w:rPr>
              <w:t>Nově navrhovaná výše (Kč)</w:t>
            </w:r>
          </w:p>
        </w:tc>
      </w:tr>
      <w:tr w:rsidR="00CF0CF8" w14:paraId="2F0F6776" w14:textId="77777777" w:rsidTr="00E068DC">
        <w:tc>
          <w:tcPr>
            <w:tcW w:w="3271" w:type="dxa"/>
            <w:tcBorders>
              <w:top w:val="single" w:sz="12" w:space="0" w:color="auto"/>
              <w:left w:val="single" w:sz="12" w:space="0" w:color="auto"/>
              <w:bottom w:val="single" w:sz="4" w:space="0" w:color="auto"/>
              <w:right w:val="single" w:sz="4" w:space="0" w:color="4472C4"/>
            </w:tcBorders>
            <w:vAlign w:val="bottom"/>
            <w:hideMark/>
          </w:tcPr>
          <w:p w14:paraId="0357F1D4" w14:textId="77777777" w:rsidR="00CF0CF8" w:rsidRDefault="00CF0CF8">
            <w:pPr>
              <w:jc w:val="both"/>
              <w:rPr>
                <w:rFonts w:ascii="Arial" w:eastAsia="Times New Roman" w:hAnsi="Arial" w:cs="Arial"/>
                <w:b/>
                <w:bCs/>
                <w:szCs w:val="20"/>
              </w:rPr>
            </w:pPr>
            <w:r>
              <w:rPr>
                <w:rFonts w:ascii="Arial" w:eastAsia="Times New Roman" w:hAnsi="Arial" w:cs="Arial"/>
                <w:b/>
                <w:bCs/>
                <w:szCs w:val="20"/>
              </w:rPr>
              <w:t>Celkové výdaje projektu</w:t>
            </w:r>
          </w:p>
        </w:tc>
        <w:tc>
          <w:tcPr>
            <w:tcW w:w="2400" w:type="dxa"/>
            <w:tcBorders>
              <w:top w:val="single" w:sz="12" w:space="0" w:color="4472C4"/>
              <w:left w:val="single" w:sz="4" w:space="0" w:color="4472C4"/>
              <w:bottom w:val="single" w:sz="4" w:space="0" w:color="4472C4"/>
              <w:right w:val="single" w:sz="4" w:space="0" w:color="4472C4"/>
            </w:tcBorders>
            <w:shd w:val="clear" w:color="auto" w:fill="FFFFFF"/>
            <w:hideMark/>
          </w:tcPr>
          <w:p w14:paraId="5FE5050A" w14:textId="77777777" w:rsidR="00CF0CF8" w:rsidRDefault="00CF0CF8">
            <w:pPr>
              <w:jc w:val="right"/>
              <w:rPr>
                <w:rFonts w:ascii="Arial" w:eastAsia="Times New Roman" w:hAnsi="Arial" w:cs="Arial"/>
                <w:b/>
                <w:bCs/>
                <w:szCs w:val="20"/>
              </w:rPr>
            </w:pPr>
            <w:r>
              <w:rPr>
                <w:rFonts w:ascii="Arial" w:eastAsia="Times New Roman" w:hAnsi="Arial" w:cs="Arial"/>
                <w:b/>
                <w:bCs/>
                <w:szCs w:val="20"/>
              </w:rPr>
              <w:t>245.115.830,00</w:t>
            </w:r>
          </w:p>
        </w:tc>
        <w:tc>
          <w:tcPr>
            <w:tcW w:w="2693" w:type="dxa"/>
            <w:tcBorders>
              <w:top w:val="single" w:sz="12" w:space="0" w:color="auto"/>
              <w:left w:val="single" w:sz="4" w:space="0" w:color="4472C4"/>
              <w:bottom w:val="single" w:sz="4" w:space="0" w:color="auto"/>
              <w:right w:val="single" w:sz="12" w:space="0" w:color="auto"/>
            </w:tcBorders>
            <w:hideMark/>
          </w:tcPr>
          <w:p w14:paraId="6FFF4538" w14:textId="77777777" w:rsidR="00CF0CF8" w:rsidRDefault="00CF0CF8">
            <w:pPr>
              <w:jc w:val="right"/>
              <w:rPr>
                <w:rFonts w:ascii="Arial" w:eastAsia="Times New Roman" w:hAnsi="Arial" w:cs="Arial"/>
                <w:b/>
                <w:bCs/>
                <w:szCs w:val="20"/>
              </w:rPr>
            </w:pPr>
            <w:r>
              <w:rPr>
                <w:rFonts w:ascii="Arial" w:eastAsia="Times New Roman" w:hAnsi="Arial" w:cs="Arial"/>
                <w:b/>
                <w:bCs/>
                <w:szCs w:val="20"/>
              </w:rPr>
              <w:t>243.792.841,00</w:t>
            </w:r>
          </w:p>
        </w:tc>
      </w:tr>
      <w:tr w:rsidR="00CF0CF8" w14:paraId="00F28092" w14:textId="77777777" w:rsidTr="00E068DC">
        <w:tc>
          <w:tcPr>
            <w:tcW w:w="3271" w:type="dxa"/>
            <w:tcBorders>
              <w:top w:val="single" w:sz="4" w:space="0" w:color="auto"/>
              <w:left w:val="single" w:sz="12" w:space="0" w:color="auto"/>
              <w:bottom w:val="single" w:sz="4" w:space="0" w:color="auto"/>
              <w:right w:val="single" w:sz="4" w:space="0" w:color="auto"/>
            </w:tcBorders>
            <w:hideMark/>
          </w:tcPr>
          <w:p w14:paraId="7D00E5EA" w14:textId="77777777" w:rsidR="00CF0CF8" w:rsidRDefault="00CF0CF8">
            <w:pPr>
              <w:jc w:val="both"/>
              <w:rPr>
                <w:rFonts w:ascii="Arial" w:eastAsia="Times New Roman" w:hAnsi="Arial" w:cs="Arial"/>
                <w:szCs w:val="20"/>
              </w:rPr>
            </w:pPr>
            <w:r>
              <w:rPr>
                <w:rFonts w:ascii="Arial" w:eastAsia="Times New Roman" w:hAnsi="Arial" w:cs="Arial"/>
                <w:szCs w:val="20"/>
              </w:rPr>
              <w:t>Celkové nezp. výdaje projektu</w:t>
            </w:r>
          </w:p>
        </w:tc>
        <w:tc>
          <w:tcPr>
            <w:tcW w:w="2400" w:type="dxa"/>
            <w:tcBorders>
              <w:top w:val="single" w:sz="4" w:space="0" w:color="4472C4"/>
              <w:left w:val="single" w:sz="4" w:space="0" w:color="auto"/>
              <w:bottom w:val="single" w:sz="4" w:space="0" w:color="auto"/>
              <w:right w:val="single" w:sz="4" w:space="0" w:color="auto"/>
            </w:tcBorders>
            <w:hideMark/>
          </w:tcPr>
          <w:p w14:paraId="26815039" w14:textId="77777777" w:rsidR="00CF0CF8" w:rsidRDefault="00CF0CF8">
            <w:pPr>
              <w:jc w:val="right"/>
              <w:rPr>
                <w:rFonts w:ascii="Arial" w:eastAsia="Times New Roman" w:hAnsi="Arial" w:cs="Arial"/>
                <w:szCs w:val="20"/>
              </w:rPr>
            </w:pPr>
            <w:r>
              <w:rPr>
                <w:rFonts w:ascii="Arial" w:eastAsia="Times New Roman" w:hAnsi="Arial" w:cs="Arial"/>
                <w:szCs w:val="20"/>
              </w:rPr>
              <w:t>10.000.000,00</w:t>
            </w:r>
          </w:p>
        </w:tc>
        <w:tc>
          <w:tcPr>
            <w:tcW w:w="2693" w:type="dxa"/>
            <w:tcBorders>
              <w:top w:val="single" w:sz="4" w:space="0" w:color="auto"/>
              <w:left w:val="single" w:sz="4" w:space="0" w:color="auto"/>
              <w:bottom w:val="single" w:sz="4" w:space="0" w:color="auto"/>
              <w:right w:val="single" w:sz="12" w:space="0" w:color="auto"/>
            </w:tcBorders>
            <w:hideMark/>
          </w:tcPr>
          <w:p w14:paraId="49EF6B41" w14:textId="77777777" w:rsidR="00CF0CF8" w:rsidRDefault="00CF0CF8">
            <w:pPr>
              <w:jc w:val="right"/>
              <w:rPr>
                <w:rFonts w:ascii="Arial" w:eastAsia="Times New Roman" w:hAnsi="Arial" w:cs="Arial"/>
                <w:szCs w:val="20"/>
              </w:rPr>
            </w:pPr>
            <w:r>
              <w:rPr>
                <w:rFonts w:ascii="Arial" w:eastAsia="Times New Roman" w:hAnsi="Arial" w:cs="Arial"/>
                <w:szCs w:val="20"/>
              </w:rPr>
              <w:t>10.000.000,00</w:t>
            </w:r>
          </w:p>
        </w:tc>
      </w:tr>
      <w:tr w:rsidR="00CF0CF8" w14:paraId="5CFBEE4C" w14:textId="77777777" w:rsidTr="00E068DC">
        <w:tc>
          <w:tcPr>
            <w:tcW w:w="3271" w:type="dxa"/>
            <w:tcBorders>
              <w:top w:val="single" w:sz="4" w:space="0" w:color="auto"/>
              <w:left w:val="single" w:sz="12" w:space="0" w:color="auto"/>
              <w:bottom w:val="single" w:sz="4" w:space="0" w:color="auto"/>
              <w:right w:val="single" w:sz="4" w:space="0" w:color="auto"/>
            </w:tcBorders>
            <w:hideMark/>
          </w:tcPr>
          <w:p w14:paraId="723B205A" w14:textId="77777777" w:rsidR="00CF0CF8" w:rsidRDefault="00CF0CF8">
            <w:pPr>
              <w:jc w:val="both"/>
              <w:rPr>
                <w:rFonts w:ascii="Arial" w:eastAsia="Times New Roman" w:hAnsi="Arial" w:cs="Arial"/>
                <w:szCs w:val="20"/>
              </w:rPr>
            </w:pPr>
            <w:r>
              <w:rPr>
                <w:rFonts w:ascii="Arial" w:eastAsia="Times New Roman" w:hAnsi="Arial" w:cs="Arial"/>
                <w:szCs w:val="20"/>
              </w:rPr>
              <w:t>Celkové zp. výdaje projektu</w:t>
            </w:r>
          </w:p>
        </w:tc>
        <w:tc>
          <w:tcPr>
            <w:tcW w:w="2400" w:type="dxa"/>
            <w:tcBorders>
              <w:top w:val="single" w:sz="4" w:space="0" w:color="auto"/>
              <w:left w:val="single" w:sz="4" w:space="0" w:color="auto"/>
              <w:bottom w:val="single" w:sz="4" w:space="0" w:color="auto"/>
              <w:right w:val="single" w:sz="4" w:space="0" w:color="auto"/>
            </w:tcBorders>
            <w:hideMark/>
          </w:tcPr>
          <w:p w14:paraId="61550931" w14:textId="77777777" w:rsidR="00CF0CF8" w:rsidRDefault="00CF0CF8">
            <w:pPr>
              <w:jc w:val="right"/>
              <w:rPr>
                <w:rFonts w:ascii="Arial" w:eastAsia="Times New Roman" w:hAnsi="Arial" w:cs="Arial"/>
                <w:szCs w:val="20"/>
              </w:rPr>
            </w:pPr>
            <w:r>
              <w:rPr>
                <w:rFonts w:ascii="Arial" w:eastAsia="Times New Roman" w:hAnsi="Arial" w:cs="Arial"/>
                <w:szCs w:val="20"/>
              </w:rPr>
              <w:t>235.115.830,00</w:t>
            </w:r>
          </w:p>
        </w:tc>
        <w:tc>
          <w:tcPr>
            <w:tcW w:w="2693" w:type="dxa"/>
            <w:tcBorders>
              <w:top w:val="single" w:sz="4" w:space="0" w:color="auto"/>
              <w:left w:val="single" w:sz="4" w:space="0" w:color="auto"/>
              <w:bottom w:val="single" w:sz="4" w:space="0" w:color="auto"/>
              <w:right w:val="single" w:sz="12" w:space="0" w:color="auto"/>
            </w:tcBorders>
            <w:hideMark/>
          </w:tcPr>
          <w:p w14:paraId="164E82C8" w14:textId="77777777" w:rsidR="00CF0CF8" w:rsidRDefault="00CF0CF8">
            <w:pPr>
              <w:jc w:val="right"/>
              <w:rPr>
                <w:rFonts w:ascii="Arial" w:eastAsia="Times New Roman" w:hAnsi="Arial" w:cs="Arial"/>
                <w:szCs w:val="20"/>
              </w:rPr>
            </w:pPr>
            <w:r>
              <w:rPr>
                <w:rFonts w:ascii="Arial" w:eastAsia="Times New Roman" w:hAnsi="Arial" w:cs="Arial"/>
                <w:szCs w:val="20"/>
              </w:rPr>
              <w:t>233.792.841,00</w:t>
            </w:r>
          </w:p>
        </w:tc>
      </w:tr>
      <w:tr w:rsidR="00CF0CF8" w14:paraId="3B4E91AD" w14:textId="77777777" w:rsidTr="00E068DC">
        <w:tc>
          <w:tcPr>
            <w:tcW w:w="3271" w:type="dxa"/>
            <w:tcBorders>
              <w:top w:val="single" w:sz="4" w:space="0" w:color="auto"/>
              <w:left w:val="single" w:sz="12" w:space="0" w:color="auto"/>
              <w:bottom w:val="single" w:sz="4" w:space="0" w:color="auto"/>
              <w:right w:val="single" w:sz="4" w:space="0" w:color="auto"/>
            </w:tcBorders>
            <w:hideMark/>
          </w:tcPr>
          <w:p w14:paraId="47F1C9ED" w14:textId="77777777" w:rsidR="00CF0CF8" w:rsidRDefault="00CF0CF8">
            <w:pPr>
              <w:jc w:val="both"/>
              <w:rPr>
                <w:rFonts w:ascii="Arial" w:eastAsia="Times New Roman" w:hAnsi="Arial" w:cs="Arial"/>
                <w:szCs w:val="20"/>
              </w:rPr>
            </w:pPr>
            <w:r>
              <w:rPr>
                <w:rFonts w:ascii="Arial" w:eastAsia="Times New Roman" w:hAnsi="Arial" w:cs="Arial"/>
                <w:szCs w:val="20"/>
              </w:rPr>
              <w:t>Podíl vlastních prostředků žadatele</w:t>
            </w:r>
          </w:p>
        </w:tc>
        <w:tc>
          <w:tcPr>
            <w:tcW w:w="2400" w:type="dxa"/>
            <w:tcBorders>
              <w:top w:val="single" w:sz="4" w:space="0" w:color="auto"/>
              <w:left w:val="single" w:sz="4" w:space="0" w:color="auto"/>
              <w:bottom w:val="single" w:sz="4" w:space="0" w:color="auto"/>
              <w:right w:val="single" w:sz="4" w:space="0" w:color="auto"/>
            </w:tcBorders>
            <w:hideMark/>
          </w:tcPr>
          <w:p w14:paraId="21DC6DA7" w14:textId="77777777" w:rsidR="00CF0CF8" w:rsidRDefault="00CF0CF8">
            <w:pPr>
              <w:jc w:val="right"/>
              <w:rPr>
                <w:rFonts w:ascii="Arial" w:eastAsia="Times New Roman" w:hAnsi="Arial" w:cs="Arial"/>
                <w:szCs w:val="20"/>
              </w:rPr>
            </w:pPr>
            <w:r>
              <w:rPr>
                <w:rFonts w:ascii="Arial" w:eastAsia="Times New Roman" w:hAnsi="Arial" w:cs="Arial"/>
                <w:szCs w:val="20"/>
              </w:rPr>
              <w:t>35.267.375,50</w:t>
            </w:r>
          </w:p>
        </w:tc>
        <w:tc>
          <w:tcPr>
            <w:tcW w:w="2693" w:type="dxa"/>
            <w:tcBorders>
              <w:top w:val="single" w:sz="4" w:space="0" w:color="auto"/>
              <w:left w:val="single" w:sz="4" w:space="0" w:color="auto"/>
              <w:bottom w:val="single" w:sz="4" w:space="0" w:color="auto"/>
              <w:right w:val="single" w:sz="12" w:space="0" w:color="auto"/>
            </w:tcBorders>
            <w:hideMark/>
          </w:tcPr>
          <w:p w14:paraId="2067705E" w14:textId="77777777" w:rsidR="00CF0CF8" w:rsidRDefault="00CF0CF8">
            <w:pPr>
              <w:jc w:val="right"/>
              <w:rPr>
                <w:rFonts w:ascii="Arial" w:eastAsia="Times New Roman" w:hAnsi="Arial" w:cs="Arial"/>
                <w:szCs w:val="20"/>
              </w:rPr>
            </w:pPr>
            <w:r>
              <w:rPr>
                <w:rFonts w:ascii="Arial" w:eastAsia="Times New Roman" w:hAnsi="Arial" w:cs="Arial"/>
                <w:szCs w:val="20"/>
              </w:rPr>
              <w:t>35.068.926,15</w:t>
            </w:r>
          </w:p>
        </w:tc>
      </w:tr>
      <w:tr w:rsidR="00CF0CF8" w14:paraId="720307D8" w14:textId="77777777" w:rsidTr="00E068DC">
        <w:tc>
          <w:tcPr>
            <w:tcW w:w="3271" w:type="dxa"/>
            <w:tcBorders>
              <w:top w:val="single" w:sz="4" w:space="0" w:color="auto"/>
              <w:left w:val="single" w:sz="12" w:space="0" w:color="auto"/>
              <w:bottom w:val="single" w:sz="12" w:space="0" w:color="auto"/>
              <w:right w:val="single" w:sz="4" w:space="0" w:color="auto"/>
            </w:tcBorders>
            <w:hideMark/>
          </w:tcPr>
          <w:p w14:paraId="50377748" w14:textId="77777777" w:rsidR="00CF0CF8" w:rsidRDefault="00CF0CF8">
            <w:pPr>
              <w:jc w:val="both"/>
              <w:rPr>
                <w:rFonts w:ascii="Arial" w:eastAsia="Times New Roman" w:hAnsi="Arial" w:cs="Arial"/>
                <w:szCs w:val="20"/>
              </w:rPr>
            </w:pPr>
            <w:r>
              <w:rPr>
                <w:rFonts w:ascii="Arial" w:eastAsia="Times New Roman" w:hAnsi="Arial" w:cs="Arial"/>
                <w:szCs w:val="20"/>
              </w:rPr>
              <w:t>Podíl evropských fondů</w:t>
            </w:r>
          </w:p>
        </w:tc>
        <w:tc>
          <w:tcPr>
            <w:tcW w:w="2400" w:type="dxa"/>
            <w:tcBorders>
              <w:top w:val="single" w:sz="4" w:space="0" w:color="auto"/>
              <w:left w:val="single" w:sz="4" w:space="0" w:color="auto"/>
              <w:bottom w:val="single" w:sz="12" w:space="0" w:color="auto"/>
              <w:right w:val="single" w:sz="4" w:space="0" w:color="auto"/>
            </w:tcBorders>
            <w:hideMark/>
          </w:tcPr>
          <w:p w14:paraId="7AE7F266" w14:textId="77777777" w:rsidR="00CF0CF8" w:rsidRDefault="00CF0CF8">
            <w:pPr>
              <w:jc w:val="right"/>
              <w:rPr>
                <w:rFonts w:ascii="Arial" w:eastAsia="Times New Roman" w:hAnsi="Arial" w:cs="Arial"/>
                <w:szCs w:val="20"/>
              </w:rPr>
            </w:pPr>
            <w:r>
              <w:rPr>
                <w:rFonts w:ascii="Arial" w:eastAsia="Times New Roman" w:hAnsi="Arial" w:cs="Arial"/>
                <w:szCs w:val="20"/>
              </w:rPr>
              <w:t>199.848.455,50</w:t>
            </w:r>
          </w:p>
        </w:tc>
        <w:tc>
          <w:tcPr>
            <w:tcW w:w="2693" w:type="dxa"/>
            <w:tcBorders>
              <w:top w:val="single" w:sz="4" w:space="0" w:color="auto"/>
              <w:left w:val="single" w:sz="4" w:space="0" w:color="auto"/>
              <w:bottom w:val="single" w:sz="12" w:space="0" w:color="auto"/>
              <w:right w:val="single" w:sz="12" w:space="0" w:color="auto"/>
            </w:tcBorders>
            <w:hideMark/>
          </w:tcPr>
          <w:p w14:paraId="2F4B2CD1" w14:textId="77777777" w:rsidR="00CF0CF8" w:rsidRDefault="00CF0CF8">
            <w:pPr>
              <w:jc w:val="right"/>
              <w:rPr>
                <w:rFonts w:ascii="Arial" w:eastAsia="Times New Roman" w:hAnsi="Arial" w:cs="Arial"/>
                <w:szCs w:val="20"/>
              </w:rPr>
            </w:pPr>
            <w:r>
              <w:rPr>
                <w:rFonts w:ascii="Arial" w:eastAsia="Times New Roman" w:hAnsi="Arial" w:cs="Arial"/>
                <w:szCs w:val="20"/>
              </w:rPr>
              <w:t>198.723.914,85</w:t>
            </w:r>
          </w:p>
        </w:tc>
      </w:tr>
      <w:tr w:rsidR="00CF0CF8" w14:paraId="2CC41E65" w14:textId="77777777" w:rsidTr="00E068DC">
        <w:tc>
          <w:tcPr>
            <w:tcW w:w="3271" w:type="dxa"/>
            <w:tcBorders>
              <w:top w:val="single" w:sz="12" w:space="0" w:color="auto"/>
              <w:left w:val="single" w:sz="12" w:space="0" w:color="auto"/>
              <w:bottom w:val="single" w:sz="4" w:space="0" w:color="auto"/>
              <w:right w:val="single" w:sz="4" w:space="0" w:color="auto"/>
            </w:tcBorders>
            <w:hideMark/>
          </w:tcPr>
          <w:p w14:paraId="7950D2F7" w14:textId="77777777" w:rsidR="00CF0CF8" w:rsidRDefault="00CF0CF8">
            <w:pPr>
              <w:jc w:val="both"/>
              <w:rPr>
                <w:rFonts w:ascii="Arial" w:eastAsia="Times New Roman" w:hAnsi="Arial" w:cs="Arial"/>
                <w:szCs w:val="20"/>
              </w:rPr>
            </w:pPr>
            <w:r>
              <w:rPr>
                <w:rFonts w:ascii="Arial" w:eastAsia="Times New Roman" w:hAnsi="Arial" w:cs="Arial"/>
                <w:szCs w:val="20"/>
              </w:rPr>
              <w:t>Požadované finanční prostředky od JčK celkem ve struktuře:</w:t>
            </w:r>
          </w:p>
        </w:tc>
        <w:tc>
          <w:tcPr>
            <w:tcW w:w="2400" w:type="dxa"/>
            <w:tcBorders>
              <w:top w:val="single" w:sz="12" w:space="0" w:color="auto"/>
              <w:left w:val="single" w:sz="4" w:space="0" w:color="auto"/>
              <w:bottom w:val="single" w:sz="4" w:space="0" w:color="auto"/>
              <w:right w:val="single" w:sz="4" w:space="0" w:color="auto"/>
            </w:tcBorders>
            <w:hideMark/>
          </w:tcPr>
          <w:p w14:paraId="2CBA4458" w14:textId="77777777" w:rsidR="00CF0CF8" w:rsidRDefault="00CF0CF8">
            <w:pPr>
              <w:jc w:val="right"/>
              <w:rPr>
                <w:rFonts w:ascii="Arial" w:eastAsia="Times New Roman" w:hAnsi="Arial" w:cs="Arial"/>
                <w:szCs w:val="20"/>
              </w:rPr>
            </w:pPr>
            <w:r>
              <w:rPr>
                <w:rFonts w:ascii="Arial" w:eastAsia="Times New Roman" w:hAnsi="Arial" w:cs="Arial"/>
                <w:szCs w:val="20"/>
              </w:rPr>
              <w:t>245.115.830,00</w:t>
            </w:r>
          </w:p>
        </w:tc>
        <w:tc>
          <w:tcPr>
            <w:tcW w:w="2693" w:type="dxa"/>
            <w:tcBorders>
              <w:top w:val="single" w:sz="12" w:space="0" w:color="auto"/>
              <w:left w:val="single" w:sz="4" w:space="0" w:color="auto"/>
              <w:bottom w:val="single" w:sz="4" w:space="0" w:color="auto"/>
              <w:right w:val="single" w:sz="12" w:space="0" w:color="auto"/>
            </w:tcBorders>
            <w:hideMark/>
          </w:tcPr>
          <w:p w14:paraId="00DCAC21" w14:textId="77777777" w:rsidR="00CF0CF8" w:rsidRDefault="00CF0CF8">
            <w:pPr>
              <w:jc w:val="right"/>
              <w:rPr>
                <w:rFonts w:ascii="Arial" w:eastAsia="Times New Roman" w:hAnsi="Arial" w:cs="Arial"/>
                <w:szCs w:val="20"/>
              </w:rPr>
            </w:pPr>
            <w:r>
              <w:rPr>
                <w:rFonts w:ascii="Arial" w:eastAsia="Times New Roman" w:hAnsi="Arial" w:cs="Arial"/>
                <w:szCs w:val="20"/>
              </w:rPr>
              <w:t>243.792.841,00</w:t>
            </w:r>
          </w:p>
        </w:tc>
      </w:tr>
      <w:tr w:rsidR="00CF0CF8" w14:paraId="37C1F1E0" w14:textId="77777777" w:rsidTr="00E068DC">
        <w:tc>
          <w:tcPr>
            <w:tcW w:w="3271" w:type="dxa"/>
            <w:tcBorders>
              <w:top w:val="single" w:sz="4" w:space="0" w:color="auto"/>
              <w:left w:val="single" w:sz="12" w:space="0" w:color="auto"/>
              <w:bottom w:val="single" w:sz="4" w:space="0" w:color="auto"/>
              <w:right w:val="single" w:sz="4" w:space="0" w:color="auto"/>
            </w:tcBorders>
            <w:hideMark/>
          </w:tcPr>
          <w:p w14:paraId="7ACEC934" w14:textId="77777777" w:rsidR="00CF0CF8" w:rsidRDefault="00CF0CF8">
            <w:pPr>
              <w:jc w:val="both"/>
              <w:rPr>
                <w:rFonts w:ascii="Arial" w:eastAsia="Times New Roman" w:hAnsi="Arial" w:cs="Arial"/>
                <w:szCs w:val="20"/>
              </w:rPr>
            </w:pPr>
            <w:r>
              <w:rPr>
                <w:rFonts w:ascii="Arial" w:eastAsia="Times New Roman" w:hAnsi="Arial" w:cs="Arial"/>
                <w:szCs w:val="20"/>
              </w:rPr>
              <w:t>Předfinancování zp. výdajů</w:t>
            </w:r>
          </w:p>
        </w:tc>
        <w:tc>
          <w:tcPr>
            <w:tcW w:w="2400" w:type="dxa"/>
            <w:tcBorders>
              <w:top w:val="single" w:sz="4" w:space="0" w:color="auto"/>
              <w:left w:val="single" w:sz="4" w:space="0" w:color="auto"/>
              <w:bottom w:val="single" w:sz="4" w:space="0" w:color="auto"/>
              <w:right w:val="single" w:sz="4" w:space="0" w:color="auto"/>
            </w:tcBorders>
            <w:hideMark/>
          </w:tcPr>
          <w:p w14:paraId="6A09C44A" w14:textId="77777777" w:rsidR="00CF0CF8" w:rsidRDefault="00CF0CF8">
            <w:pPr>
              <w:jc w:val="right"/>
              <w:rPr>
                <w:rFonts w:ascii="Arial" w:eastAsia="Times New Roman" w:hAnsi="Arial" w:cs="Arial"/>
                <w:szCs w:val="20"/>
              </w:rPr>
            </w:pPr>
            <w:r>
              <w:rPr>
                <w:rFonts w:ascii="Arial" w:eastAsia="Times New Roman" w:hAnsi="Arial" w:cs="Arial"/>
                <w:szCs w:val="20"/>
              </w:rPr>
              <w:t>199.848.455,50</w:t>
            </w:r>
          </w:p>
        </w:tc>
        <w:tc>
          <w:tcPr>
            <w:tcW w:w="2693" w:type="dxa"/>
            <w:tcBorders>
              <w:top w:val="single" w:sz="4" w:space="0" w:color="auto"/>
              <w:left w:val="single" w:sz="4" w:space="0" w:color="auto"/>
              <w:bottom w:val="single" w:sz="4" w:space="0" w:color="auto"/>
              <w:right w:val="single" w:sz="12" w:space="0" w:color="auto"/>
            </w:tcBorders>
            <w:hideMark/>
          </w:tcPr>
          <w:p w14:paraId="13BC3ECD" w14:textId="77777777" w:rsidR="00CF0CF8" w:rsidRDefault="00CF0CF8">
            <w:pPr>
              <w:jc w:val="right"/>
              <w:rPr>
                <w:rFonts w:ascii="Arial" w:eastAsia="Times New Roman" w:hAnsi="Arial" w:cs="Arial"/>
                <w:szCs w:val="20"/>
              </w:rPr>
            </w:pPr>
            <w:r>
              <w:rPr>
                <w:rFonts w:ascii="Arial" w:eastAsia="Times New Roman" w:hAnsi="Arial" w:cs="Arial"/>
                <w:szCs w:val="20"/>
              </w:rPr>
              <w:t>198.723.914,85</w:t>
            </w:r>
          </w:p>
        </w:tc>
      </w:tr>
      <w:tr w:rsidR="00CF0CF8" w14:paraId="2742C3B8" w14:textId="77777777" w:rsidTr="00E068DC">
        <w:tc>
          <w:tcPr>
            <w:tcW w:w="3271" w:type="dxa"/>
            <w:tcBorders>
              <w:top w:val="single" w:sz="4" w:space="0" w:color="auto"/>
              <w:left w:val="single" w:sz="12" w:space="0" w:color="auto"/>
              <w:bottom w:val="single" w:sz="4" w:space="0" w:color="auto"/>
              <w:right w:val="single" w:sz="4" w:space="0" w:color="auto"/>
            </w:tcBorders>
            <w:hideMark/>
          </w:tcPr>
          <w:p w14:paraId="2668E915" w14:textId="77777777" w:rsidR="00CF0CF8" w:rsidRDefault="00CF0CF8">
            <w:pPr>
              <w:jc w:val="both"/>
              <w:rPr>
                <w:rFonts w:ascii="Arial" w:eastAsia="Times New Roman" w:hAnsi="Arial" w:cs="Arial"/>
                <w:szCs w:val="20"/>
              </w:rPr>
            </w:pPr>
            <w:r>
              <w:rPr>
                <w:rFonts w:ascii="Arial" w:eastAsia="Times New Roman" w:hAnsi="Arial" w:cs="Arial"/>
                <w:szCs w:val="20"/>
              </w:rPr>
              <w:t>Kofinancování zp. výdajů</w:t>
            </w:r>
          </w:p>
        </w:tc>
        <w:tc>
          <w:tcPr>
            <w:tcW w:w="2400" w:type="dxa"/>
            <w:tcBorders>
              <w:top w:val="single" w:sz="4" w:space="0" w:color="auto"/>
              <w:left w:val="single" w:sz="4" w:space="0" w:color="auto"/>
              <w:bottom w:val="single" w:sz="4" w:space="0" w:color="auto"/>
              <w:right w:val="single" w:sz="4" w:space="0" w:color="auto"/>
            </w:tcBorders>
            <w:hideMark/>
          </w:tcPr>
          <w:p w14:paraId="21C281C7" w14:textId="77777777" w:rsidR="00CF0CF8" w:rsidRDefault="00CF0CF8">
            <w:pPr>
              <w:jc w:val="right"/>
              <w:rPr>
                <w:rFonts w:ascii="Arial" w:eastAsia="Times New Roman" w:hAnsi="Arial" w:cs="Arial"/>
                <w:szCs w:val="20"/>
              </w:rPr>
            </w:pPr>
            <w:r>
              <w:rPr>
                <w:rFonts w:ascii="Arial" w:eastAsia="Times New Roman" w:hAnsi="Arial" w:cs="Arial"/>
                <w:szCs w:val="20"/>
              </w:rPr>
              <w:t>35.267.374,50</w:t>
            </w:r>
          </w:p>
        </w:tc>
        <w:tc>
          <w:tcPr>
            <w:tcW w:w="2693" w:type="dxa"/>
            <w:tcBorders>
              <w:top w:val="single" w:sz="4" w:space="0" w:color="auto"/>
              <w:left w:val="single" w:sz="4" w:space="0" w:color="auto"/>
              <w:bottom w:val="single" w:sz="4" w:space="0" w:color="auto"/>
              <w:right w:val="single" w:sz="12" w:space="0" w:color="auto"/>
            </w:tcBorders>
            <w:hideMark/>
          </w:tcPr>
          <w:p w14:paraId="3DF97D25" w14:textId="77777777" w:rsidR="00CF0CF8" w:rsidRDefault="00CF0CF8">
            <w:pPr>
              <w:jc w:val="right"/>
              <w:rPr>
                <w:rFonts w:ascii="Arial" w:eastAsia="Times New Roman" w:hAnsi="Arial" w:cs="Arial"/>
                <w:szCs w:val="20"/>
              </w:rPr>
            </w:pPr>
            <w:r>
              <w:rPr>
                <w:rFonts w:ascii="Arial" w:eastAsia="Times New Roman" w:hAnsi="Arial" w:cs="Arial"/>
                <w:szCs w:val="20"/>
              </w:rPr>
              <w:t>35.068.926,15</w:t>
            </w:r>
          </w:p>
        </w:tc>
      </w:tr>
      <w:tr w:rsidR="00CF0CF8" w14:paraId="15471074" w14:textId="77777777" w:rsidTr="00E068DC">
        <w:tc>
          <w:tcPr>
            <w:tcW w:w="3271" w:type="dxa"/>
            <w:tcBorders>
              <w:top w:val="single" w:sz="4" w:space="0" w:color="auto"/>
              <w:left w:val="single" w:sz="12" w:space="0" w:color="auto"/>
              <w:bottom w:val="single" w:sz="4" w:space="0" w:color="auto"/>
              <w:right w:val="single" w:sz="4" w:space="0" w:color="auto"/>
            </w:tcBorders>
            <w:hideMark/>
          </w:tcPr>
          <w:p w14:paraId="475B2410" w14:textId="77777777" w:rsidR="00CF0CF8" w:rsidRDefault="00CF0CF8">
            <w:pPr>
              <w:jc w:val="both"/>
              <w:rPr>
                <w:rFonts w:ascii="Arial" w:eastAsia="Times New Roman" w:hAnsi="Arial" w:cs="Arial"/>
                <w:szCs w:val="20"/>
              </w:rPr>
            </w:pPr>
            <w:r>
              <w:rPr>
                <w:rFonts w:ascii="Arial" w:eastAsia="Times New Roman" w:hAnsi="Arial" w:cs="Arial"/>
                <w:szCs w:val="20"/>
              </w:rPr>
              <w:t>Financování nezp. výdajů</w:t>
            </w:r>
          </w:p>
        </w:tc>
        <w:tc>
          <w:tcPr>
            <w:tcW w:w="2400" w:type="dxa"/>
            <w:tcBorders>
              <w:top w:val="single" w:sz="4" w:space="0" w:color="auto"/>
              <w:left w:val="single" w:sz="4" w:space="0" w:color="auto"/>
              <w:bottom w:val="single" w:sz="4" w:space="0" w:color="auto"/>
              <w:right w:val="single" w:sz="4" w:space="0" w:color="auto"/>
            </w:tcBorders>
            <w:hideMark/>
          </w:tcPr>
          <w:p w14:paraId="0E8358D3" w14:textId="77777777" w:rsidR="00CF0CF8" w:rsidRDefault="00CF0CF8">
            <w:pPr>
              <w:jc w:val="right"/>
              <w:rPr>
                <w:rFonts w:ascii="Arial" w:eastAsia="Times New Roman" w:hAnsi="Arial" w:cs="Arial"/>
                <w:szCs w:val="20"/>
              </w:rPr>
            </w:pPr>
            <w:r>
              <w:rPr>
                <w:rFonts w:ascii="Arial" w:eastAsia="Times New Roman" w:hAnsi="Arial" w:cs="Arial"/>
                <w:szCs w:val="20"/>
              </w:rPr>
              <w:t>10.000.000,00</w:t>
            </w:r>
          </w:p>
        </w:tc>
        <w:tc>
          <w:tcPr>
            <w:tcW w:w="2693" w:type="dxa"/>
            <w:tcBorders>
              <w:top w:val="single" w:sz="4" w:space="0" w:color="auto"/>
              <w:left w:val="single" w:sz="4" w:space="0" w:color="auto"/>
              <w:bottom w:val="single" w:sz="4" w:space="0" w:color="auto"/>
              <w:right w:val="single" w:sz="12" w:space="0" w:color="auto"/>
            </w:tcBorders>
            <w:hideMark/>
          </w:tcPr>
          <w:p w14:paraId="5FF3566A" w14:textId="77777777" w:rsidR="00CF0CF8" w:rsidRDefault="00CF0CF8">
            <w:pPr>
              <w:jc w:val="right"/>
              <w:rPr>
                <w:rFonts w:ascii="Arial" w:eastAsia="Times New Roman" w:hAnsi="Arial" w:cs="Arial"/>
                <w:szCs w:val="20"/>
              </w:rPr>
            </w:pPr>
            <w:r>
              <w:rPr>
                <w:rFonts w:ascii="Arial" w:eastAsia="Times New Roman" w:hAnsi="Arial" w:cs="Arial"/>
                <w:szCs w:val="20"/>
              </w:rPr>
              <w:t>10.000.000,00</w:t>
            </w:r>
          </w:p>
        </w:tc>
      </w:tr>
      <w:tr w:rsidR="00CF0CF8" w14:paraId="00F8AE37" w14:textId="77777777" w:rsidTr="00E068DC">
        <w:tc>
          <w:tcPr>
            <w:tcW w:w="3271" w:type="dxa"/>
            <w:tcBorders>
              <w:top w:val="single" w:sz="4" w:space="0" w:color="auto"/>
              <w:left w:val="single" w:sz="12" w:space="0" w:color="auto"/>
              <w:bottom w:val="single" w:sz="12" w:space="0" w:color="auto"/>
              <w:right w:val="single" w:sz="4" w:space="0" w:color="auto"/>
            </w:tcBorders>
            <w:hideMark/>
          </w:tcPr>
          <w:p w14:paraId="624EF3DA" w14:textId="77777777" w:rsidR="00CF0CF8" w:rsidRDefault="00CF0CF8">
            <w:pPr>
              <w:jc w:val="both"/>
              <w:rPr>
                <w:rFonts w:ascii="Arial" w:eastAsia="Times New Roman" w:hAnsi="Arial" w:cs="Arial"/>
                <w:b/>
                <w:bCs/>
                <w:szCs w:val="20"/>
              </w:rPr>
            </w:pPr>
            <w:r>
              <w:rPr>
                <w:rFonts w:ascii="Arial" w:eastAsia="Times New Roman" w:hAnsi="Arial" w:cs="Arial"/>
                <w:b/>
                <w:bCs/>
                <w:szCs w:val="20"/>
              </w:rPr>
              <w:t>Kofinancování a nezpůsobilé výdaje celkem</w:t>
            </w:r>
          </w:p>
        </w:tc>
        <w:tc>
          <w:tcPr>
            <w:tcW w:w="2400" w:type="dxa"/>
            <w:tcBorders>
              <w:top w:val="single" w:sz="4" w:space="0" w:color="auto"/>
              <w:left w:val="single" w:sz="4" w:space="0" w:color="auto"/>
              <w:bottom w:val="single" w:sz="12" w:space="0" w:color="auto"/>
              <w:right w:val="single" w:sz="4" w:space="0" w:color="auto"/>
            </w:tcBorders>
            <w:hideMark/>
          </w:tcPr>
          <w:p w14:paraId="09EDD781" w14:textId="77777777" w:rsidR="00CF0CF8" w:rsidRDefault="00CF0CF8">
            <w:pPr>
              <w:jc w:val="right"/>
              <w:rPr>
                <w:rFonts w:ascii="Arial" w:eastAsia="Times New Roman" w:hAnsi="Arial" w:cs="Arial"/>
                <w:b/>
                <w:bCs/>
                <w:szCs w:val="20"/>
              </w:rPr>
            </w:pPr>
            <w:r>
              <w:rPr>
                <w:rFonts w:ascii="Arial" w:eastAsia="Times New Roman" w:hAnsi="Arial" w:cs="Arial"/>
                <w:b/>
                <w:bCs/>
                <w:szCs w:val="20"/>
              </w:rPr>
              <w:t>45.267.374,50</w:t>
            </w:r>
          </w:p>
        </w:tc>
        <w:tc>
          <w:tcPr>
            <w:tcW w:w="2693" w:type="dxa"/>
            <w:tcBorders>
              <w:top w:val="single" w:sz="4" w:space="0" w:color="auto"/>
              <w:left w:val="single" w:sz="4" w:space="0" w:color="auto"/>
              <w:bottom w:val="single" w:sz="12" w:space="0" w:color="auto"/>
              <w:right w:val="single" w:sz="12" w:space="0" w:color="auto"/>
            </w:tcBorders>
            <w:hideMark/>
          </w:tcPr>
          <w:p w14:paraId="04711329" w14:textId="77777777" w:rsidR="00CF0CF8" w:rsidRDefault="00CF0CF8">
            <w:pPr>
              <w:jc w:val="right"/>
              <w:rPr>
                <w:rFonts w:ascii="Arial" w:eastAsia="Times New Roman" w:hAnsi="Arial" w:cs="Arial"/>
                <w:b/>
                <w:bCs/>
                <w:szCs w:val="20"/>
              </w:rPr>
            </w:pPr>
            <w:r>
              <w:rPr>
                <w:rFonts w:ascii="Arial" w:eastAsia="Times New Roman" w:hAnsi="Arial" w:cs="Arial"/>
                <w:b/>
                <w:bCs/>
                <w:szCs w:val="20"/>
              </w:rPr>
              <w:t>45.068.926,15</w:t>
            </w:r>
          </w:p>
        </w:tc>
      </w:tr>
    </w:tbl>
    <w:p w14:paraId="5F402ECC" w14:textId="77777777" w:rsidR="00CF0CF8" w:rsidRDefault="00CF0CF8" w:rsidP="00E068DC">
      <w:pPr>
        <w:jc w:val="both"/>
        <w:rPr>
          <w:rFonts w:ascii="Arial" w:hAnsi="Arial" w:cs="Arial"/>
          <w:szCs w:val="20"/>
        </w:rPr>
      </w:pPr>
    </w:p>
    <w:p w14:paraId="3C503881" w14:textId="77777777" w:rsidR="00CF0CF8" w:rsidRDefault="00CF0CF8" w:rsidP="00E068DC">
      <w:pPr>
        <w:jc w:val="both"/>
        <w:rPr>
          <w:rFonts w:ascii="Arial" w:hAnsi="Arial" w:cs="Arial"/>
          <w:szCs w:val="20"/>
        </w:rPr>
      </w:pPr>
      <w:r>
        <w:rPr>
          <w:rFonts w:ascii="Arial" w:hAnsi="Arial" w:cs="Arial"/>
          <w:szCs w:val="20"/>
        </w:rPr>
        <w:t xml:space="preserve"> </w:t>
      </w:r>
    </w:p>
    <w:p w14:paraId="6C947D7C" w14:textId="77777777" w:rsidR="00CF0CF8" w:rsidRDefault="00CF0CF8" w:rsidP="00E068DC">
      <w:pPr>
        <w:jc w:val="both"/>
        <w:rPr>
          <w:rFonts w:ascii="Arial" w:hAnsi="Arial" w:cs="Arial"/>
          <w:szCs w:val="20"/>
        </w:rPr>
      </w:pPr>
    </w:p>
    <w:p w14:paraId="179EE8F9" w14:textId="77777777" w:rsidR="00CF0CF8" w:rsidRDefault="00CF0CF8" w:rsidP="00E068DC">
      <w:pPr>
        <w:jc w:val="both"/>
        <w:rPr>
          <w:rFonts w:ascii="Arial" w:hAnsi="Arial" w:cs="Arial"/>
          <w:szCs w:val="20"/>
        </w:rPr>
      </w:pPr>
    </w:p>
    <w:p w14:paraId="465C53BA" w14:textId="77777777" w:rsidR="00CF0CF8" w:rsidRDefault="00CF0CF8" w:rsidP="00E068DC">
      <w:pPr>
        <w:jc w:val="both"/>
        <w:rPr>
          <w:rFonts w:ascii="Arial" w:hAnsi="Arial" w:cs="Arial"/>
          <w:szCs w:val="20"/>
        </w:rPr>
      </w:pPr>
    </w:p>
    <w:p w14:paraId="5F04D40B" w14:textId="77777777" w:rsidR="00CF0CF8" w:rsidRDefault="00CF0CF8" w:rsidP="00E068DC">
      <w:pPr>
        <w:jc w:val="both"/>
        <w:rPr>
          <w:rFonts w:ascii="Arial" w:hAnsi="Arial" w:cs="Arial"/>
          <w:szCs w:val="20"/>
        </w:rPr>
      </w:pPr>
    </w:p>
    <w:p w14:paraId="5747A327" w14:textId="77777777" w:rsidR="00CF0CF8" w:rsidRDefault="00CF0CF8" w:rsidP="00E068DC">
      <w:pPr>
        <w:jc w:val="both"/>
        <w:rPr>
          <w:rFonts w:ascii="Arial" w:hAnsi="Arial" w:cs="Arial"/>
          <w:szCs w:val="20"/>
        </w:rPr>
      </w:pPr>
    </w:p>
    <w:p w14:paraId="724B045A" w14:textId="77777777" w:rsidR="00CF0CF8" w:rsidRDefault="00CF0CF8" w:rsidP="00E068DC">
      <w:pPr>
        <w:rPr>
          <w:rFonts w:ascii="Arial" w:hAnsi="Arial" w:cs="Arial"/>
          <w:szCs w:val="20"/>
        </w:rPr>
      </w:pPr>
    </w:p>
    <w:p w14:paraId="42F2F432" w14:textId="77777777" w:rsidR="00CF0CF8" w:rsidRDefault="00CF0CF8" w:rsidP="00E068DC">
      <w:pPr>
        <w:rPr>
          <w:rFonts w:ascii="Arial" w:hAnsi="Arial" w:cs="Arial"/>
          <w:szCs w:val="20"/>
        </w:rPr>
      </w:pPr>
    </w:p>
    <w:p w14:paraId="7D8EF39C" w14:textId="77777777" w:rsidR="00CF0CF8" w:rsidRDefault="00CF0CF8" w:rsidP="00E068DC">
      <w:pPr>
        <w:rPr>
          <w:rFonts w:ascii="Arial" w:hAnsi="Arial" w:cs="Arial"/>
          <w:szCs w:val="20"/>
        </w:rPr>
      </w:pPr>
    </w:p>
    <w:p w14:paraId="70249284" w14:textId="77777777" w:rsidR="00CF0CF8" w:rsidRDefault="00CF0CF8" w:rsidP="00E068DC">
      <w:pPr>
        <w:rPr>
          <w:rFonts w:ascii="Arial" w:hAnsi="Arial" w:cs="Arial"/>
          <w:szCs w:val="20"/>
        </w:rPr>
      </w:pPr>
    </w:p>
    <w:p w14:paraId="4615D30E" w14:textId="77777777" w:rsidR="00CF0CF8" w:rsidRDefault="00CF0CF8" w:rsidP="00E068DC">
      <w:pPr>
        <w:rPr>
          <w:rFonts w:ascii="Arial" w:hAnsi="Arial" w:cs="Arial"/>
          <w:szCs w:val="20"/>
        </w:rPr>
      </w:pPr>
    </w:p>
    <w:p w14:paraId="4E4E98BA" w14:textId="77777777" w:rsidR="00CF0CF8" w:rsidRDefault="00CF0CF8" w:rsidP="00E068DC">
      <w:pPr>
        <w:rPr>
          <w:rFonts w:ascii="Arial" w:hAnsi="Arial" w:cs="Arial"/>
          <w:szCs w:val="20"/>
        </w:rPr>
      </w:pPr>
    </w:p>
    <w:p w14:paraId="3845ECD7" w14:textId="77777777" w:rsidR="00CF0CF8" w:rsidRDefault="00CF0CF8" w:rsidP="00E068DC">
      <w:pPr>
        <w:rPr>
          <w:rFonts w:ascii="Arial" w:hAnsi="Arial" w:cs="Arial"/>
          <w:szCs w:val="20"/>
        </w:rPr>
      </w:pPr>
    </w:p>
    <w:p w14:paraId="6D9BC2B4" w14:textId="77777777" w:rsidR="00CF0CF8" w:rsidRDefault="00CF0CF8" w:rsidP="00E068DC">
      <w:pPr>
        <w:rPr>
          <w:rFonts w:ascii="Arial" w:hAnsi="Arial" w:cs="Arial"/>
          <w:szCs w:val="20"/>
        </w:rPr>
      </w:pPr>
    </w:p>
    <w:p w14:paraId="0B8961FD" w14:textId="77777777" w:rsidR="00CF0CF8" w:rsidRDefault="00CF0CF8" w:rsidP="00E068DC">
      <w:pPr>
        <w:rPr>
          <w:rFonts w:ascii="Arial" w:hAnsi="Arial" w:cs="Arial"/>
          <w:szCs w:val="20"/>
        </w:rPr>
      </w:pPr>
    </w:p>
    <w:p w14:paraId="3080DE49" w14:textId="77777777" w:rsidR="00CF0CF8" w:rsidRDefault="00CF0CF8" w:rsidP="00E068DC">
      <w:pPr>
        <w:rPr>
          <w:rFonts w:ascii="Arial" w:hAnsi="Arial" w:cs="Arial"/>
          <w:szCs w:val="20"/>
        </w:rPr>
      </w:pPr>
    </w:p>
    <w:p w14:paraId="5ADC52E9" w14:textId="77777777" w:rsidR="00CF0CF8" w:rsidRDefault="00CF0CF8" w:rsidP="00E068DC">
      <w:pPr>
        <w:rPr>
          <w:rFonts w:ascii="Arial" w:hAnsi="Arial" w:cs="Arial"/>
          <w:szCs w:val="20"/>
        </w:rPr>
      </w:pPr>
    </w:p>
    <w:p w14:paraId="51659DEB" w14:textId="77777777" w:rsidR="00CF0CF8" w:rsidRDefault="00CF0CF8" w:rsidP="00E068DC">
      <w:pPr>
        <w:jc w:val="both"/>
        <w:rPr>
          <w:rFonts w:ascii="Arial" w:hAnsi="Arial" w:cs="Arial"/>
          <w:szCs w:val="20"/>
        </w:rPr>
      </w:pPr>
    </w:p>
    <w:p w14:paraId="42682214" w14:textId="77777777" w:rsidR="00CF0CF8" w:rsidRDefault="00CF0CF8" w:rsidP="00E068DC">
      <w:pPr>
        <w:jc w:val="both"/>
        <w:rPr>
          <w:rFonts w:ascii="Arial" w:hAnsi="Arial" w:cs="Arial"/>
          <w:szCs w:val="20"/>
        </w:rPr>
      </w:pPr>
      <w:r>
        <w:rPr>
          <w:rFonts w:ascii="Arial" w:hAnsi="Arial" w:cs="Arial"/>
          <w:szCs w:val="20"/>
        </w:rPr>
        <w:t xml:space="preserve">V průběhu hodnocení se žadatel musel formou úpravy, resp. doplnění textu do studie proveditelnosti, zavázat k dodržení Metodiky pořizování, správy a způsobu poskytování dat digitální technické mapy, která byla připravována pod hlavičkou Koordinační rady správců DTM a k jejímuž vydání byl v rámci výzvy OP PIK zmocněn Český úřad zeměměřický a katastrální (ČÚZK). </w:t>
      </w:r>
    </w:p>
    <w:p w14:paraId="2FF02DB6" w14:textId="77777777" w:rsidR="00CF0CF8" w:rsidRDefault="00CF0CF8" w:rsidP="00E068DC">
      <w:pPr>
        <w:jc w:val="both"/>
        <w:rPr>
          <w:rFonts w:ascii="Arial" w:hAnsi="Arial" w:cs="Arial"/>
          <w:szCs w:val="20"/>
        </w:rPr>
      </w:pPr>
      <w:r>
        <w:rPr>
          <w:rFonts w:ascii="Arial" w:hAnsi="Arial" w:cs="Arial"/>
          <w:szCs w:val="20"/>
        </w:rPr>
        <w:t>Žadatel na konci realizační fáze bude muset doložit dodržení tohoto závazku buď formou čestného prohlášení nebo prostřednictvím zpracovaného znaleckého posudku. Studie proveditelnosti s vyznačenými změnami je přílohou č</w:t>
      </w:r>
      <w:r w:rsidRPr="00E068DC">
        <w:rPr>
          <w:rFonts w:ascii="Arial" w:hAnsi="Arial" w:cs="Arial"/>
          <w:szCs w:val="20"/>
        </w:rPr>
        <w:t>. 3</w:t>
      </w:r>
      <w:r>
        <w:rPr>
          <w:rFonts w:ascii="Arial" w:hAnsi="Arial" w:cs="Arial"/>
          <w:szCs w:val="20"/>
        </w:rPr>
        <w:t xml:space="preserve"> tohoto materiálu.</w:t>
      </w:r>
    </w:p>
    <w:p w14:paraId="2C166DCB" w14:textId="77777777" w:rsidR="00CF0CF8" w:rsidRDefault="00CF0CF8" w:rsidP="00E068DC">
      <w:pPr>
        <w:jc w:val="both"/>
        <w:rPr>
          <w:rFonts w:ascii="Arial" w:hAnsi="Arial" w:cs="Arial"/>
          <w:szCs w:val="20"/>
        </w:rPr>
      </w:pPr>
    </w:p>
    <w:p w14:paraId="737ED3F1" w14:textId="77777777" w:rsidR="00CF0CF8" w:rsidRDefault="00CF0CF8" w:rsidP="00E068DC">
      <w:pPr>
        <w:jc w:val="both"/>
        <w:rPr>
          <w:rFonts w:ascii="Arial" w:hAnsi="Arial" w:cs="Arial"/>
          <w:szCs w:val="20"/>
        </w:rPr>
      </w:pPr>
      <w:r>
        <w:rPr>
          <w:rFonts w:ascii="Arial" w:hAnsi="Arial" w:cs="Arial"/>
          <w:szCs w:val="20"/>
        </w:rPr>
        <w:t xml:space="preserve">Aktuální stav realizace projektu DTM JK: </w:t>
      </w:r>
    </w:p>
    <w:p w14:paraId="6395C487" w14:textId="77777777" w:rsidR="00CF0CF8" w:rsidRDefault="00CF0CF8" w:rsidP="00E068DC">
      <w:pPr>
        <w:jc w:val="both"/>
        <w:rPr>
          <w:rFonts w:ascii="Arial" w:hAnsi="Arial" w:cs="Arial"/>
          <w:szCs w:val="20"/>
        </w:rPr>
      </w:pPr>
    </w:p>
    <w:p w14:paraId="03A1522D" w14:textId="77777777" w:rsidR="00CF0CF8" w:rsidRDefault="00CF0CF8" w:rsidP="00E068DC">
      <w:pPr>
        <w:jc w:val="both"/>
        <w:rPr>
          <w:rFonts w:ascii="Arial" w:hAnsi="Arial" w:cs="Arial"/>
          <w:szCs w:val="20"/>
        </w:rPr>
      </w:pPr>
      <w:r>
        <w:rPr>
          <w:rFonts w:ascii="Arial" w:hAnsi="Arial" w:cs="Arial"/>
          <w:szCs w:val="20"/>
        </w:rPr>
        <w:t>OINF ve spolupráci s OLVV a OVZI realizoval 2 veřejné zakázky malého rozsahu na:</w:t>
      </w:r>
    </w:p>
    <w:p w14:paraId="5EDA47BC" w14:textId="77777777" w:rsidR="00CF0CF8" w:rsidRDefault="00CF0CF8" w:rsidP="00CF0CF8">
      <w:pPr>
        <w:numPr>
          <w:ilvl w:val="0"/>
          <w:numId w:val="12"/>
        </w:numPr>
        <w:spacing w:line="240" w:lineRule="auto"/>
        <w:contextualSpacing/>
        <w:jc w:val="both"/>
        <w:rPr>
          <w:rFonts w:ascii="Arial" w:hAnsi="Arial" w:cs="Arial"/>
          <w:szCs w:val="28"/>
        </w:rPr>
      </w:pPr>
      <w:r>
        <w:rPr>
          <w:rFonts w:ascii="Arial" w:hAnsi="Arial" w:cs="Arial"/>
          <w:szCs w:val="28"/>
        </w:rPr>
        <w:t>zajištění odborných konzultačních služeb k projektu a</w:t>
      </w:r>
    </w:p>
    <w:p w14:paraId="76FEEAC2" w14:textId="77777777" w:rsidR="00CF0CF8" w:rsidRDefault="00CF0CF8" w:rsidP="00CF0CF8">
      <w:pPr>
        <w:numPr>
          <w:ilvl w:val="0"/>
          <w:numId w:val="12"/>
        </w:numPr>
        <w:spacing w:line="240" w:lineRule="auto"/>
        <w:contextualSpacing/>
        <w:jc w:val="both"/>
        <w:rPr>
          <w:rFonts w:ascii="Arial" w:hAnsi="Arial" w:cs="Arial"/>
          <w:szCs w:val="28"/>
        </w:rPr>
      </w:pPr>
      <w:r>
        <w:rPr>
          <w:rFonts w:ascii="Arial" w:hAnsi="Arial" w:cs="Arial"/>
          <w:szCs w:val="28"/>
        </w:rPr>
        <w:t xml:space="preserve">zpracování zadávacích podmínek k projektu Digitální technická mapa Jihočeského kraje. </w:t>
      </w:r>
    </w:p>
    <w:p w14:paraId="2C811129" w14:textId="77777777" w:rsidR="00CF0CF8" w:rsidRDefault="00CF0CF8" w:rsidP="00E068DC">
      <w:pPr>
        <w:jc w:val="both"/>
        <w:rPr>
          <w:rFonts w:ascii="Arial" w:hAnsi="Arial" w:cs="Arial"/>
          <w:szCs w:val="28"/>
        </w:rPr>
      </w:pPr>
    </w:p>
    <w:p w14:paraId="6E7C0EF5" w14:textId="77777777" w:rsidR="00CF0CF8" w:rsidRDefault="00CF0CF8" w:rsidP="00E068DC">
      <w:pPr>
        <w:jc w:val="both"/>
        <w:rPr>
          <w:rFonts w:ascii="Arial" w:hAnsi="Arial" w:cs="Arial"/>
          <w:szCs w:val="28"/>
        </w:rPr>
      </w:pPr>
      <w:r>
        <w:rPr>
          <w:rFonts w:ascii="Arial" w:hAnsi="Arial" w:cs="Arial"/>
          <w:szCs w:val="28"/>
        </w:rPr>
        <w:t>V současné době již probíhá realizace předmětů plnění stanovených ve smlouvách, které byly součástí zadávacích podmínek, zejména pak probíhají práce na přípravě technických parametrů/podmínek pro veřejnou zakázku na pořízení dat, která představuje největší část projektu. Současně v rámci spolupráce šesti krajů probíhají práce na definování technické specifikace a přípravě zadávací dokumentace pro společnou veřejnou zakázku na pořízení informačního systému DTM krajů.</w:t>
      </w:r>
    </w:p>
    <w:p w14:paraId="2856CEA2" w14:textId="77777777" w:rsidR="00CF0CF8" w:rsidRDefault="00CF0CF8" w:rsidP="00E068DC">
      <w:pPr>
        <w:jc w:val="both"/>
        <w:rPr>
          <w:rFonts w:ascii="Arial" w:hAnsi="Arial" w:cs="Arial"/>
          <w:szCs w:val="28"/>
        </w:rPr>
      </w:pPr>
      <w:r>
        <w:rPr>
          <w:rFonts w:ascii="Arial" w:hAnsi="Arial" w:cs="Arial"/>
          <w:szCs w:val="28"/>
        </w:rPr>
        <w:lastRenderedPageBreak/>
        <w:t xml:space="preserve"> </w:t>
      </w:r>
    </w:p>
    <w:p w14:paraId="2541D99F" w14:textId="77777777" w:rsidR="00CF0CF8" w:rsidRDefault="00CF0CF8" w:rsidP="00E068DC">
      <w:pPr>
        <w:jc w:val="both"/>
        <w:rPr>
          <w:rFonts w:ascii="Arial" w:hAnsi="Arial" w:cs="Arial"/>
          <w:szCs w:val="20"/>
        </w:rPr>
      </w:pPr>
      <w:r>
        <w:rPr>
          <w:rFonts w:ascii="Arial" w:hAnsi="Arial" w:cs="Arial"/>
          <w:szCs w:val="20"/>
        </w:rPr>
        <w:t xml:space="preserve">OINF ve spolupráci s OLVV připravil vzor Smlouvy o spolupráci při tvorbě, aktualizaci a správě Digitální technické mapy Jihočeského kraje. Tato smlouva, která je navrhována uzavřít s obcemi ve správním obvodu Jihočeského kraje, které mají/provozují digitální technickou mapu obce, bude sloužit pro zajištění/předání/konsolidaci dat z těchto digitálních technických map obcí do DTM JK. Vzor Smlouvy o spolupráci při tvorbě, aktualizaci a správě Digitální technické mapy Jihočeského kraje byl schválen </w:t>
      </w:r>
      <w:bookmarkStart w:id="4" w:name="_Hlk74217657"/>
      <w:r>
        <w:rPr>
          <w:rFonts w:ascii="Arial" w:hAnsi="Arial" w:cs="Arial"/>
          <w:szCs w:val="20"/>
        </w:rPr>
        <w:t>usnesením Rady Jihočeského kraje č. 666/2021/RK-19 ze dne 10. 6. 2021</w:t>
      </w:r>
      <w:bookmarkEnd w:id="4"/>
      <w:r>
        <w:rPr>
          <w:rFonts w:ascii="Arial" w:hAnsi="Arial" w:cs="Arial"/>
          <w:szCs w:val="20"/>
        </w:rPr>
        <w:t>.</w:t>
      </w:r>
    </w:p>
    <w:p w14:paraId="6A466826" w14:textId="77777777" w:rsidR="00CF0CF8" w:rsidRDefault="00CF0CF8" w:rsidP="00E068DC">
      <w:pPr>
        <w:jc w:val="both"/>
        <w:rPr>
          <w:rFonts w:ascii="Arial" w:hAnsi="Arial" w:cs="Arial"/>
          <w:szCs w:val="20"/>
        </w:rPr>
      </w:pPr>
      <w:r>
        <w:rPr>
          <w:rFonts w:ascii="Arial" w:hAnsi="Arial" w:cs="Arial"/>
          <w:szCs w:val="20"/>
        </w:rPr>
        <w:t xml:space="preserve"> </w:t>
      </w:r>
    </w:p>
    <w:p w14:paraId="2A166D45" w14:textId="77777777" w:rsidR="00CF0CF8" w:rsidRDefault="00CF0CF8" w:rsidP="00E068DC">
      <w:pPr>
        <w:jc w:val="both"/>
        <w:rPr>
          <w:rFonts w:ascii="Arial" w:hAnsi="Arial" w:cs="Arial"/>
          <w:szCs w:val="20"/>
        </w:rPr>
      </w:pPr>
      <w:r>
        <w:rPr>
          <w:rFonts w:ascii="Arial" w:hAnsi="Arial" w:cs="Arial"/>
          <w:szCs w:val="20"/>
        </w:rPr>
        <w:t>Dále proběhlo jednání s dalšími významnými správci technické infrastruktury na území Jihočeského kraje (EG.D, a.s.; CETIN, a.s.; GasNet, s.r.o.; ČEVAK, a.s.; Povodí Vltavy) za účelem stanovení podmínek pro předání jimi spravovaných dat základní prostorové situace Jihočeskému kraji a stanovení modelu údržby a aktualizace těchto dat v rámci implementační fáze DTM JK.</w:t>
      </w:r>
    </w:p>
    <w:p w14:paraId="396AC662" w14:textId="77777777" w:rsidR="00CF0CF8" w:rsidRDefault="00CF0CF8" w:rsidP="00E068DC">
      <w:pPr>
        <w:jc w:val="both"/>
        <w:rPr>
          <w:rFonts w:ascii="Arial" w:hAnsi="Arial" w:cs="Arial"/>
          <w:szCs w:val="20"/>
        </w:rPr>
      </w:pPr>
      <w:r>
        <w:rPr>
          <w:rFonts w:ascii="Arial" w:hAnsi="Arial" w:cs="Arial"/>
          <w:szCs w:val="20"/>
        </w:rPr>
        <w:t xml:space="preserve"> </w:t>
      </w:r>
    </w:p>
    <w:p w14:paraId="50498108" w14:textId="77777777" w:rsidR="00CF0CF8" w:rsidRDefault="00CF0CF8" w:rsidP="00E068DC">
      <w:pPr>
        <w:jc w:val="both"/>
        <w:rPr>
          <w:rFonts w:ascii="Arial" w:hAnsi="Arial" w:cs="Arial"/>
          <w:szCs w:val="20"/>
        </w:rPr>
      </w:pPr>
      <w:r>
        <w:rPr>
          <w:rFonts w:ascii="Arial" w:hAnsi="Arial" w:cs="Arial"/>
          <w:szCs w:val="20"/>
        </w:rPr>
        <w:t>V neposlední řadě proběhla jednání se zástupci Správy železnic (SŽ) a Ředitelství silnic a dálnic ČR (ŘSD) za účelem vymezení koridorů, ve kterých budou realizovat mapování, resp. tvorbu a aktualizaci DTM, tyto subjekty. Výsledkem těchto jednání je Smlouva o zajištění činnosti editora údajů, jejíž uzavření schválila usnesením č. 666/2021/RK-19 ze dne 10. 6. 2021 Rada Jihočeského kraje.</w:t>
      </w:r>
    </w:p>
    <w:p w14:paraId="2EE7EB2C" w14:textId="77777777" w:rsidR="00CF0CF8" w:rsidRDefault="00CF0CF8" w:rsidP="00E068DC">
      <w:pPr>
        <w:jc w:val="both"/>
        <w:rPr>
          <w:rFonts w:ascii="Arial" w:hAnsi="Arial" w:cs="Arial"/>
          <w:szCs w:val="20"/>
        </w:rPr>
      </w:pPr>
    </w:p>
    <w:p w14:paraId="1235B39B" w14:textId="77777777" w:rsidR="00CF0CF8" w:rsidRDefault="00CF0CF8" w:rsidP="00E068DC">
      <w:pPr>
        <w:jc w:val="both"/>
        <w:rPr>
          <w:rFonts w:ascii="Arial" w:hAnsi="Arial" w:cs="Arial"/>
          <w:szCs w:val="20"/>
        </w:rPr>
      </w:pPr>
      <w:r>
        <w:rPr>
          <w:rFonts w:ascii="Arial" w:hAnsi="Arial" w:cs="Arial"/>
          <w:szCs w:val="20"/>
        </w:rPr>
        <w:t>V souvislosti s přípravou a realizací projektů DTM krajů je třeba upozornit na některá rizika, která se s postupem času ukazují jako velmi závažná.</w:t>
      </w:r>
    </w:p>
    <w:p w14:paraId="3137F2C3" w14:textId="77777777" w:rsidR="00CF0CF8" w:rsidRDefault="00CF0CF8" w:rsidP="00E068DC">
      <w:pPr>
        <w:jc w:val="both"/>
        <w:rPr>
          <w:rFonts w:ascii="Arial" w:hAnsi="Arial" w:cs="Arial"/>
          <w:szCs w:val="20"/>
        </w:rPr>
      </w:pPr>
      <w:r>
        <w:rPr>
          <w:rFonts w:ascii="Arial" w:hAnsi="Arial" w:cs="Arial"/>
          <w:szCs w:val="20"/>
        </w:rPr>
        <w:t xml:space="preserve"> </w:t>
      </w:r>
    </w:p>
    <w:p w14:paraId="4A68F82F" w14:textId="77777777" w:rsidR="00CF0CF8" w:rsidRDefault="00CF0CF8" w:rsidP="00E068DC">
      <w:pPr>
        <w:jc w:val="both"/>
        <w:rPr>
          <w:rFonts w:ascii="Arial" w:hAnsi="Arial" w:cs="Arial"/>
          <w:szCs w:val="20"/>
        </w:rPr>
      </w:pPr>
      <w:r>
        <w:rPr>
          <w:rFonts w:ascii="Arial" w:hAnsi="Arial" w:cs="Arial"/>
          <w:i/>
          <w:iCs/>
          <w:szCs w:val="20"/>
        </w:rPr>
        <w:t>Riziko z hlediska zbývajícího času na realizaci projektu</w:t>
      </w:r>
      <w:r>
        <w:rPr>
          <w:rFonts w:ascii="Arial" w:hAnsi="Arial" w:cs="Arial"/>
          <w:szCs w:val="20"/>
        </w:rPr>
        <w:t xml:space="preserve"> - došlo k poměrně velkému časovému zdržení při přípravě Metodiky pořizování, správy a způsobu poskytování dat digitální technické mapy ze strany ČÚZK, přičemž kraje byly vystaveny silnému nátlaku ze strany ČÚZK při schvalování navrhovaných/realizovaných priorit při vzniku DTM kraje. Problém časového hlediska je umocněn i stavem schvalování projektů krajů ze strany poskytovatele dotace (MPO ČR). Proces schvalování předložených projektů krajů dosud nebyl dokončen (kraje předpokládaly, že jejich projekty budou ze strany poskytovatele dotace schváleny bezprostředně po jejich předložení). Nejzazší termín pro dokončení realizace projektů krajů je přitom ze strany poskytovatele dotace stanoven na 30. 6. 2023 a je definován jako nepřekročitelný. </w:t>
      </w:r>
    </w:p>
    <w:p w14:paraId="3805F8A5" w14:textId="77777777" w:rsidR="00CF0CF8" w:rsidRDefault="00CF0CF8" w:rsidP="00E068DC">
      <w:pPr>
        <w:jc w:val="both"/>
        <w:rPr>
          <w:rFonts w:ascii="Arial" w:hAnsi="Arial" w:cs="Arial"/>
          <w:i/>
          <w:iCs/>
          <w:szCs w:val="20"/>
        </w:rPr>
      </w:pPr>
    </w:p>
    <w:p w14:paraId="5820960D" w14:textId="77777777" w:rsidR="00CF0CF8" w:rsidRDefault="00CF0CF8" w:rsidP="00E068DC">
      <w:pPr>
        <w:jc w:val="both"/>
        <w:rPr>
          <w:rFonts w:ascii="Arial" w:hAnsi="Arial" w:cs="Arial"/>
          <w:szCs w:val="20"/>
        </w:rPr>
      </w:pPr>
      <w:r>
        <w:rPr>
          <w:rFonts w:ascii="Arial" w:hAnsi="Arial" w:cs="Arial"/>
          <w:i/>
          <w:iCs/>
          <w:szCs w:val="20"/>
        </w:rPr>
        <w:t>Riziko způsobilosti/uznatelnosti vynaložených výdajů při realizaci projektu</w:t>
      </w:r>
      <w:r>
        <w:rPr>
          <w:rFonts w:ascii="Arial" w:hAnsi="Arial" w:cs="Arial"/>
          <w:szCs w:val="20"/>
        </w:rPr>
        <w:t xml:space="preserve"> - pro kraje představuje velké riziko uznatelnost výdajů na leteckou fotogrammetrii, resp. nepředvídatelný postup poskytovatele dotace při hodnocení způsobilosti výdajů na její realizaci ve vztahu k jejímu využití v rámci projektu (tvorba ortofotomapy na min. části území kraje s parametry, které jsou nutné pro verifikaci objektů základní prostorové situace a dopravní infrastruktury pro účely DTM kraje dle stanovených parametrů) a projektu leteckého snímkování a tvorby ortofotomapy ČR, kterou v rámci svého projektu spolufinancovaného z prostředků strukturálních fondů EU (IROP) realizuje ČÚZK – aktuálně v této souvislosti došlo k ponížení projektové žádosti Zlínského kraje o cca 11 mil. Kč. </w:t>
      </w:r>
    </w:p>
    <w:p w14:paraId="75294ED4" w14:textId="77777777" w:rsidR="00CF0CF8" w:rsidRDefault="00CF0CF8" w:rsidP="00E068DC">
      <w:pPr>
        <w:jc w:val="both"/>
        <w:rPr>
          <w:rFonts w:ascii="Arial" w:hAnsi="Arial" w:cs="Arial"/>
          <w:i/>
          <w:iCs/>
          <w:szCs w:val="20"/>
        </w:rPr>
      </w:pPr>
    </w:p>
    <w:p w14:paraId="4CC2209D" w14:textId="77777777" w:rsidR="00CF0CF8" w:rsidRDefault="00CF0CF8" w:rsidP="00E068DC">
      <w:pPr>
        <w:jc w:val="both"/>
        <w:rPr>
          <w:rFonts w:ascii="Arial" w:hAnsi="Arial" w:cs="Arial"/>
          <w:szCs w:val="20"/>
        </w:rPr>
      </w:pPr>
      <w:r>
        <w:rPr>
          <w:rFonts w:ascii="Arial" w:hAnsi="Arial" w:cs="Arial"/>
          <w:i/>
          <w:iCs/>
          <w:szCs w:val="20"/>
        </w:rPr>
        <w:t>Riziko dalších výdajů nad předpokládaný rámec projektů krajů</w:t>
      </w:r>
      <w:r>
        <w:rPr>
          <w:rFonts w:ascii="Arial" w:hAnsi="Arial" w:cs="Arial"/>
          <w:szCs w:val="20"/>
        </w:rPr>
        <w:t xml:space="preserve"> – toto riziko vychází zejména z aktuální situace při vzniku Informačního systému Digitální mapy veřejné správy (IS DMVS), který realizuje v rámci svého projektu ČÚZK. Veřejná zakázka na realizaci IS DMVS byla napadena ze strany neúspěšných uchazečů a je v tuto chvíli posuzována Úřadem pro ochranu hospodářské soutěže (ÚOHS). Pro kraje tato situace může mít dopad v podobě požadavku ze strany ČÚZK na převzetí (min. dočasného) některých funkcionalit a jejich zabezpečení v rámci informačního systému DTM krajů.</w:t>
      </w:r>
    </w:p>
    <w:p w14:paraId="4E69FBC7" w14:textId="77777777" w:rsidR="00CF0CF8" w:rsidRDefault="00CF0CF8" w:rsidP="00E068DC">
      <w:pPr>
        <w:jc w:val="both"/>
        <w:rPr>
          <w:rFonts w:ascii="Arial" w:hAnsi="Arial" w:cs="Arial"/>
          <w:szCs w:val="20"/>
        </w:rPr>
      </w:pPr>
      <w:r>
        <w:rPr>
          <w:rFonts w:ascii="Arial" w:hAnsi="Arial" w:cs="Arial"/>
          <w:szCs w:val="20"/>
        </w:rPr>
        <w:t>V souvislosti s výdaji je nutno upozornit na skutečnost, že stále není dořešena otázka financování provozu DTM krajů. Financování provozu DTM krajů je předpokládáno prostřednictvím navýšení příspěvku na přenesený výkon státní správy tak, že toto navýšení má pokrýt cca 68 % nákladů na provoz DTM kraje, navýšení příspěvku na přenesený výkon státní správy není účelově vázáno.</w:t>
      </w:r>
    </w:p>
    <w:p w14:paraId="52ECEBD7" w14:textId="77777777" w:rsidR="00CF0CF8" w:rsidRDefault="00CF0CF8" w:rsidP="00E068DC">
      <w:pPr>
        <w:jc w:val="both"/>
        <w:rPr>
          <w:rFonts w:ascii="Arial" w:hAnsi="Arial" w:cs="Arial"/>
          <w:i/>
          <w:iCs/>
          <w:szCs w:val="20"/>
        </w:rPr>
      </w:pPr>
    </w:p>
    <w:p w14:paraId="66207C2F" w14:textId="77777777" w:rsidR="00CF0CF8" w:rsidRDefault="00CF0CF8" w:rsidP="00E068DC">
      <w:pPr>
        <w:jc w:val="both"/>
        <w:rPr>
          <w:rFonts w:ascii="Arial" w:hAnsi="Arial" w:cs="Arial"/>
          <w:szCs w:val="20"/>
        </w:rPr>
      </w:pPr>
      <w:r>
        <w:rPr>
          <w:rFonts w:ascii="Arial" w:hAnsi="Arial" w:cs="Arial"/>
          <w:i/>
          <w:iCs/>
          <w:szCs w:val="20"/>
        </w:rPr>
        <w:t>Obecná rizika při realizaci veřejných zakázek v rámci projektu</w:t>
      </w:r>
      <w:r>
        <w:rPr>
          <w:rFonts w:ascii="Arial" w:hAnsi="Arial" w:cs="Arial"/>
          <w:szCs w:val="20"/>
        </w:rPr>
        <w:t xml:space="preserve"> – vzhledem ke zbývajícímu časovému prostoru de facto nezbývá žádný čas pro případné opakování veřejných zakázek v rámci projektu a jakýkoliv problém při realizaci zejména klíčových zakázek (pořízení dat, společná veřejná zakázka krajů na informační systém DTM krajů) může mít vážný dopad do realizace projektu DTM JK.</w:t>
      </w:r>
    </w:p>
    <w:p w14:paraId="0748F231" w14:textId="77777777" w:rsidR="00CF0CF8" w:rsidRPr="003477AF" w:rsidRDefault="00CF0CF8" w:rsidP="003477AF">
      <w:pPr>
        <w:pStyle w:val="KUJKnormal"/>
      </w:pPr>
    </w:p>
    <w:p w14:paraId="147FF07C" w14:textId="77777777" w:rsidR="00CF0CF8" w:rsidRDefault="00CF0CF8" w:rsidP="00E76D36">
      <w:pPr>
        <w:pStyle w:val="KUJKnormal"/>
      </w:pPr>
    </w:p>
    <w:p w14:paraId="0B397EBF" w14:textId="77777777" w:rsidR="00CF0CF8" w:rsidRDefault="00CF0CF8" w:rsidP="00E76D36">
      <w:pPr>
        <w:pStyle w:val="KUJKnormal"/>
      </w:pPr>
    </w:p>
    <w:p w14:paraId="37C0139E" w14:textId="77777777" w:rsidR="00CF0CF8" w:rsidRDefault="00CF0CF8" w:rsidP="00E76D36">
      <w:pPr>
        <w:pStyle w:val="KUJKnormal"/>
      </w:pPr>
      <w:r>
        <w:t xml:space="preserve">Finanční nároky a krytí: </w:t>
      </w:r>
      <w:r w:rsidRPr="00E068DC">
        <w:t>zahrnuto ve střednědobém výhledu rozpočtu kraje a v rozpočtu ORJ 20.</w:t>
      </w:r>
    </w:p>
    <w:p w14:paraId="5EBD7102" w14:textId="77777777" w:rsidR="00CF0CF8" w:rsidRDefault="00CF0CF8" w:rsidP="00E76D36">
      <w:pPr>
        <w:pStyle w:val="KUJKnormal"/>
      </w:pPr>
    </w:p>
    <w:p w14:paraId="24A5470D" w14:textId="77777777" w:rsidR="00CF0CF8" w:rsidRDefault="00CF0CF8" w:rsidP="00E76D36">
      <w:pPr>
        <w:pStyle w:val="KUJKnormal"/>
      </w:pPr>
    </w:p>
    <w:p w14:paraId="73A371B8" w14:textId="77777777" w:rsidR="00CF0CF8" w:rsidRDefault="00CF0CF8" w:rsidP="00E76D36">
      <w:pPr>
        <w:pStyle w:val="KUJKnormal"/>
      </w:pPr>
      <w:r>
        <w:t>Vyjádření správce rozpočtu:</w:t>
      </w:r>
    </w:p>
    <w:p w14:paraId="604EA24B" w14:textId="77777777" w:rsidR="00CF0CF8" w:rsidRDefault="00CF0CF8" w:rsidP="004C5D3E">
      <w:pPr>
        <w:pStyle w:val="KUJKnormal"/>
      </w:pPr>
      <w:r>
        <w:t>Ing. Michaela Zárubová</w:t>
      </w:r>
      <w:r w:rsidRPr="007666AA">
        <w:t xml:space="preserve"> </w:t>
      </w:r>
      <w:r>
        <w:t>–</w:t>
      </w:r>
      <w:r w:rsidRPr="007666AA">
        <w:t xml:space="preserve"> </w:t>
      </w:r>
      <w:r>
        <w:t>Odbor ekonomický (OEKO):</w:t>
      </w:r>
      <w:r w:rsidRPr="007666AA">
        <w:t xml:space="preserve"> </w:t>
      </w:r>
      <w:r>
        <w:t xml:space="preserve">Souhlasím, finanční krytí je zajištěno v rozpočtu roku 2021 na ODPA 3636 pol. 5909 a 6909 ORJ 2068. </w:t>
      </w:r>
    </w:p>
    <w:p w14:paraId="43B4FA3A" w14:textId="77777777" w:rsidR="00CF0CF8" w:rsidRDefault="00CF0CF8" w:rsidP="00E76D36">
      <w:pPr>
        <w:pStyle w:val="KUJKnormal"/>
      </w:pPr>
    </w:p>
    <w:p w14:paraId="10F05AE4" w14:textId="77777777" w:rsidR="00CF0CF8" w:rsidRDefault="00CF0CF8" w:rsidP="00E76D36">
      <w:pPr>
        <w:pStyle w:val="KUJKnormal"/>
      </w:pPr>
    </w:p>
    <w:p w14:paraId="6FDB8BCE" w14:textId="77777777" w:rsidR="00CF0CF8" w:rsidRDefault="00CF0CF8" w:rsidP="00E76D36">
      <w:pPr>
        <w:pStyle w:val="KUJKnormal"/>
      </w:pPr>
      <w:r>
        <w:t>Návrh projednán (stanoviska): není požadováno</w:t>
      </w:r>
    </w:p>
    <w:p w14:paraId="548F59C4" w14:textId="77777777" w:rsidR="00CF0CF8" w:rsidRDefault="00CF0CF8" w:rsidP="00E76D36">
      <w:pPr>
        <w:pStyle w:val="KUJKnormal"/>
      </w:pPr>
    </w:p>
    <w:p w14:paraId="1A739ED4" w14:textId="77777777" w:rsidR="00CF0CF8" w:rsidRDefault="00CF0CF8" w:rsidP="00E76D36">
      <w:pPr>
        <w:pStyle w:val="KUJKnormal"/>
      </w:pPr>
    </w:p>
    <w:p w14:paraId="60A0F0B3" w14:textId="77777777" w:rsidR="00CF0CF8" w:rsidRDefault="00CF0CF8" w:rsidP="00E76D36">
      <w:pPr>
        <w:pStyle w:val="KUJKnormal"/>
      </w:pPr>
    </w:p>
    <w:p w14:paraId="193EDA06" w14:textId="77777777" w:rsidR="00CF0CF8" w:rsidRDefault="00CF0CF8" w:rsidP="00E76D36">
      <w:pPr>
        <w:pStyle w:val="KUJKnormal"/>
      </w:pPr>
    </w:p>
    <w:p w14:paraId="1B3EC73D" w14:textId="77777777" w:rsidR="00CF0CF8" w:rsidRDefault="00CF0CF8" w:rsidP="00E76D36">
      <w:pPr>
        <w:pStyle w:val="KUJKnormal"/>
      </w:pPr>
    </w:p>
    <w:p w14:paraId="526E2555" w14:textId="77777777" w:rsidR="00CF0CF8" w:rsidRDefault="00CF0CF8" w:rsidP="00E76D36">
      <w:pPr>
        <w:pStyle w:val="KUJKnormal"/>
      </w:pPr>
    </w:p>
    <w:p w14:paraId="669B143B" w14:textId="77777777" w:rsidR="00CF0CF8" w:rsidRDefault="00CF0CF8" w:rsidP="00E76D36">
      <w:pPr>
        <w:pStyle w:val="KUJKnormal"/>
      </w:pPr>
    </w:p>
    <w:p w14:paraId="6663F9EB" w14:textId="77777777" w:rsidR="00CF0CF8" w:rsidRPr="007939A8" w:rsidRDefault="00CF0CF8" w:rsidP="00E76D36">
      <w:pPr>
        <w:pStyle w:val="KUJKtucny"/>
      </w:pPr>
      <w:r w:rsidRPr="007939A8">
        <w:t>PŘÍLOHY:</w:t>
      </w:r>
    </w:p>
    <w:p w14:paraId="24778816" w14:textId="77777777" w:rsidR="00CF0CF8" w:rsidRPr="00B52AA9" w:rsidRDefault="00CF0CF8" w:rsidP="00CF0CF8">
      <w:pPr>
        <w:pStyle w:val="KUJKcislovany"/>
        <w:spacing w:line="240" w:lineRule="auto"/>
      </w:pPr>
      <w:r>
        <w:t>Rozhodnutí o poskytnutí dotace pro projekt „Digitální technická mapa Jihočeského kraje“ ve III. výzvě na „Vznik a rozvoj digitálních technických map krajů“ v rámci OP PIK v období 2014 – 2020</w:t>
      </w:r>
      <w:r w:rsidRPr="0081756D">
        <w:t xml:space="preserve"> (</w:t>
      </w:r>
      <w:r>
        <w:t>RoPD 24756.pdf</w:t>
      </w:r>
      <w:r w:rsidRPr="0081756D">
        <w:t>)</w:t>
      </w:r>
    </w:p>
    <w:p w14:paraId="18AC740F" w14:textId="77777777" w:rsidR="00CF0CF8" w:rsidRPr="00B52AA9" w:rsidRDefault="00CF0CF8" w:rsidP="00CF0CF8">
      <w:pPr>
        <w:pStyle w:val="KUJKcislovany"/>
        <w:spacing w:line="240" w:lineRule="auto"/>
      </w:pPr>
      <w:r>
        <w:t>Formulář evropského projektu – změna č. 1</w:t>
      </w:r>
      <w:r w:rsidRPr="0081756D">
        <w:t xml:space="preserve"> (</w:t>
      </w:r>
      <w:r>
        <w:t>Pr_2_SM_115_ZK_Priloha_8_Zmenovy_formular.xls</w:t>
      </w:r>
      <w:r w:rsidRPr="0081756D">
        <w:t>)</w:t>
      </w:r>
    </w:p>
    <w:p w14:paraId="2AED228A" w14:textId="77777777" w:rsidR="00CF0CF8" w:rsidRPr="00B52AA9" w:rsidRDefault="00CF0CF8" w:rsidP="00CF0CF8">
      <w:pPr>
        <w:pStyle w:val="KUJKcislovany"/>
        <w:spacing w:line="240" w:lineRule="auto"/>
      </w:pPr>
      <w:r>
        <w:t>Studie proveditelnosti s vyznačenými změnami</w:t>
      </w:r>
      <w:r w:rsidRPr="0081756D">
        <w:t xml:space="preserve"> (</w:t>
      </w:r>
      <w:r>
        <w:t>Pr_3_SP_Jihocesky_kraj_1.22_s vyznacenymi_zmenami.docx</w:t>
      </w:r>
      <w:r w:rsidRPr="0081756D">
        <w:t>)</w:t>
      </w:r>
      <w:r>
        <w:t xml:space="preserve"> – pouze v elektronické podobě</w:t>
      </w:r>
    </w:p>
    <w:p w14:paraId="6652DFB9" w14:textId="77777777" w:rsidR="00CF0CF8" w:rsidRDefault="00CF0CF8" w:rsidP="00E76D36">
      <w:pPr>
        <w:pStyle w:val="KUJKnormal"/>
      </w:pPr>
    </w:p>
    <w:p w14:paraId="145DA303" w14:textId="77777777" w:rsidR="00CF0CF8" w:rsidRDefault="00CF0CF8" w:rsidP="00E76D36">
      <w:pPr>
        <w:pStyle w:val="KUJKnormal"/>
      </w:pPr>
    </w:p>
    <w:p w14:paraId="674365A8" w14:textId="77777777" w:rsidR="00CF0CF8" w:rsidRPr="007C1EE7" w:rsidRDefault="00CF0CF8" w:rsidP="00E76D36">
      <w:pPr>
        <w:pStyle w:val="KUJKtucny"/>
      </w:pPr>
      <w:r w:rsidRPr="007C1EE7">
        <w:t>Zodpovídá:</w:t>
      </w:r>
      <w:r>
        <w:t xml:space="preserve"> vedoucí OINF – Ing. Petr Vobejda</w:t>
      </w:r>
    </w:p>
    <w:p w14:paraId="1F9FC762" w14:textId="77777777" w:rsidR="00CF0CF8" w:rsidRDefault="00CF0CF8" w:rsidP="00E76D36">
      <w:pPr>
        <w:pStyle w:val="KUJKnormal"/>
      </w:pPr>
    </w:p>
    <w:p w14:paraId="4FB0BCEA" w14:textId="77777777" w:rsidR="00CF0CF8" w:rsidRDefault="00CF0CF8" w:rsidP="00B77018">
      <w:pPr>
        <w:pStyle w:val="KUJKnormal"/>
      </w:pPr>
      <w:r>
        <w:t xml:space="preserve">Termín splnění: </w:t>
      </w:r>
      <w:r w:rsidRPr="00B77018">
        <w:t>3</w:t>
      </w:r>
      <w:r>
        <w:t>1</w:t>
      </w:r>
      <w:r w:rsidRPr="00B77018">
        <w:t xml:space="preserve">. </w:t>
      </w:r>
      <w:r>
        <w:t>12</w:t>
      </w:r>
      <w:r w:rsidRPr="00B77018">
        <w:t>. 2021</w:t>
      </w:r>
    </w:p>
    <w:p w14:paraId="4A4C2D55" w14:textId="77777777" w:rsidR="00CF0CF8" w:rsidRDefault="00CF0CF8" w:rsidP="00E76D36">
      <w:pPr>
        <w:pStyle w:val="KUJKnormal"/>
      </w:pPr>
      <w:r>
        <w:t xml:space="preserve">Termín kontroly: </w:t>
      </w:r>
      <w:r w:rsidRPr="00B77018">
        <w:t>3</w:t>
      </w:r>
      <w:r>
        <w:t>1</w:t>
      </w:r>
      <w:r w:rsidRPr="00B77018">
        <w:t xml:space="preserve">. </w:t>
      </w:r>
      <w:r>
        <w:t>12</w:t>
      </w:r>
      <w:r w:rsidRPr="00B77018">
        <w:t>. 2021</w:t>
      </w:r>
    </w:p>
    <w:p w14:paraId="6773E4ED" w14:textId="77777777" w:rsidR="00CF0CF8" w:rsidRDefault="00CF0CF8"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267B0" w14:textId="77777777" w:rsidR="00A30A1E" w:rsidRDefault="00A30A1E" w:rsidP="002C5539">
      <w:r>
        <w:separator/>
      </w:r>
    </w:p>
  </w:endnote>
  <w:endnote w:type="continuationSeparator" w:id="0">
    <w:p w14:paraId="2B9AB65C" w14:textId="77777777" w:rsidR="00A30A1E" w:rsidRDefault="00A30A1E"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A30A1E"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A30A1E"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8827F" w14:textId="77777777" w:rsidR="00A30A1E" w:rsidRDefault="00A30A1E" w:rsidP="002C5539">
      <w:r>
        <w:separator/>
      </w:r>
    </w:p>
  </w:footnote>
  <w:footnote w:type="continuationSeparator" w:id="0">
    <w:p w14:paraId="26D7F75D" w14:textId="77777777" w:rsidR="00A30A1E" w:rsidRDefault="00A30A1E"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CCFB2" w14:textId="77777777" w:rsidR="00CF0CF8" w:rsidRDefault="00CF0CF8" w:rsidP="00CF0CF8">
    <w:r>
      <w:rPr>
        <w:noProof/>
      </w:rPr>
      <w:pict w14:anchorId="12FBBAF9">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53EEAF2B" w14:textId="77777777" w:rsidR="00CF0CF8" w:rsidRPr="00D405BE" w:rsidRDefault="00CF0CF8" w:rsidP="00CF0CF8">
                <w:pPr>
                  <w:spacing w:after="60"/>
                  <w:rPr>
                    <w:rFonts w:cs="Arial"/>
                    <w:b/>
                    <w:sz w:val="22"/>
                  </w:rPr>
                </w:pPr>
                <w:r w:rsidRPr="00D405BE">
                  <w:rPr>
                    <w:rFonts w:cs="Arial"/>
                    <w:b/>
                    <w:sz w:val="22"/>
                  </w:rPr>
                  <w:t>ZASTUPITELSTVO JIHOČESKÉHO KRAJE</w:t>
                </w:r>
              </w:p>
              <w:p w14:paraId="06C2E116" w14:textId="77777777" w:rsidR="00CF0CF8" w:rsidRPr="00D405BE" w:rsidRDefault="00CF0CF8" w:rsidP="00CF0CF8">
                <w:pPr>
                  <w:spacing w:after="60"/>
                  <w:rPr>
                    <w:rFonts w:cs="Arial"/>
                    <w:sz w:val="22"/>
                  </w:rPr>
                </w:pPr>
                <w:r w:rsidRPr="00D405BE">
                  <w:rPr>
                    <w:rFonts w:cs="Arial"/>
                    <w:sz w:val="22"/>
                  </w:rPr>
                  <w:t>NÁVRH USNESENÍ</w:t>
                </w:r>
              </w:p>
            </w:txbxContent>
          </v:textbox>
        </v:shape>
      </w:pict>
    </w:r>
    <w:r>
      <w:rPr>
        <w:noProof/>
      </w:rPr>
    </w:r>
    <w:r>
      <w:pict w14:anchorId="714E6644">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67B633D0">
        <v:rect id="_x0000_i1026" style="width:481.9pt;height:2pt" o:hralign="center" o:hrstd="t" o:hrnoshade="t" o:hr="t" fillcolor="black" stroked="f"/>
      </w:pict>
    </w:r>
  </w:p>
  <w:p w14:paraId="6385A4BE" w14:textId="77777777" w:rsidR="00CF0CF8" w:rsidRPr="00CF0CF8" w:rsidRDefault="00CF0CF8" w:rsidP="00CF0CF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1A12FF"/>
    <w:multiLevelType w:val="hybridMultilevel"/>
    <w:tmpl w:val="A1FA8FBA"/>
    <w:lvl w:ilvl="0" w:tplc="0405000F">
      <w:start w:val="1"/>
      <w:numFmt w:val="decimal"/>
      <w:lvlText w:val="%1."/>
      <w:lvlJc w:val="left"/>
      <w:pPr>
        <w:ind w:left="501"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8FF2F09"/>
    <w:multiLevelType w:val="hybridMultilevel"/>
    <w:tmpl w:val="71E28D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081877875">
    <w:abstractNumId w:val="1"/>
  </w:num>
  <w:num w:numId="2" w16cid:durableId="1786733671">
    <w:abstractNumId w:val="2"/>
  </w:num>
  <w:num w:numId="3" w16cid:durableId="1454440900">
    <w:abstractNumId w:val="10"/>
  </w:num>
  <w:num w:numId="4" w16cid:durableId="537623535">
    <w:abstractNumId w:val="8"/>
  </w:num>
  <w:num w:numId="5" w16cid:durableId="1062561235">
    <w:abstractNumId w:val="0"/>
  </w:num>
  <w:num w:numId="6" w16cid:durableId="884828286">
    <w:abstractNumId w:val="3"/>
  </w:num>
  <w:num w:numId="7" w16cid:durableId="1986659466">
    <w:abstractNumId w:val="7"/>
  </w:num>
  <w:num w:numId="8" w16cid:durableId="1146972910">
    <w:abstractNumId w:val="4"/>
  </w:num>
  <w:num w:numId="9" w16cid:durableId="1317371545">
    <w:abstractNumId w:val="6"/>
  </w:num>
  <w:num w:numId="10" w16cid:durableId="374937236">
    <w:abstractNumId w:val="9"/>
  </w:num>
  <w:num w:numId="11" w16cid:durableId="1251965072">
    <w:abstractNumId w:val="11"/>
    <w:lvlOverride w:ilvl="0"/>
    <w:lvlOverride w:ilvl="1"/>
    <w:lvlOverride w:ilvl="2"/>
    <w:lvlOverride w:ilvl="3"/>
    <w:lvlOverride w:ilvl="4"/>
    <w:lvlOverride w:ilvl="5"/>
    <w:lvlOverride w:ilvl="6"/>
    <w:lvlOverride w:ilvl="7"/>
    <w:lvlOverride w:ilvl="8"/>
  </w:num>
  <w:num w:numId="12" w16cid:durableId="18842943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0A1E"/>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0CF8"/>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62B6"/>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1559</Words>
  <Characters>9203</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2026-01-30T09:37:00Z</dcterms:created>
  <dcterms:modified xsi:type="dcterms:W3CDTF">2026-01-30T09:37:00Z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5557148</vt:i4>
  </property>
  <property fmtid="{D5CDD505-2E9C-101B-9397-08002B2CF9AE}" pid="4" name="ID_Navrh">
    <vt:i4>5705855</vt:i4>
  </property>
  <property fmtid="{D5CDD505-2E9C-101B-9397-08002B2CF9AE}" pid="5" name="UlozitJako">
    <vt:lpwstr>C:\Users\mrazkova\AppData\Local\Temp\iU70147344\Zastupitelstvo\2021-06-24\Navrhy\272-ZK-21.</vt:lpwstr>
  </property>
  <property fmtid="{D5CDD505-2E9C-101B-9397-08002B2CF9AE}" pid="6" name="Zpracovat">
    <vt:bool>false</vt:bool>
  </property>
</Properties>
</file>