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580B0C" w14:paraId="4CAC6C35" w14:textId="77777777" w:rsidTr="000D0D3F">
        <w:trPr>
          <w:trHeight w:hRule="exact" w:val="397"/>
        </w:trPr>
        <w:tc>
          <w:tcPr>
            <w:tcW w:w="2376" w:type="dxa"/>
            <w:hideMark/>
          </w:tcPr>
          <w:p w14:paraId="5D80520B" w14:textId="77777777" w:rsidR="00580B0C" w:rsidRDefault="00580B0C" w:rsidP="00A83F02">
            <w:pPr>
              <w:pStyle w:val="KUJKtucny"/>
            </w:pPr>
            <w:r>
              <w:t>Datum jednání:</w:t>
            </w:r>
          </w:p>
        </w:tc>
        <w:tc>
          <w:tcPr>
            <w:tcW w:w="3828" w:type="dxa"/>
            <w:hideMark/>
          </w:tcPr>
          <w:p w14:paraId="1ED85574" w14:textId="77777777" w:rsidR="00580B0C" w:rsidRDefault="00580B0C" w:rsidP="00A83F02">
            <w:pPr>
              <w:pStyle w:val="KUJKnormal"/>
            </w:pPr>
            <w:r>
              <w:t>24. 06. 2021</w:t>
            </w:r>
          </w:p>
        </w:tc>
        <w:tc>
          <w:tcPr>
            <w:tcW w:w="2126" w:type="dxa"/>
            <w:hideMark/>
          </w:tcPr>
          <w:p w14:paraId="6C52F45E" w14:textId="77777777" w:rsidR="00580B0C" w:rsidRDefault="00580B0C" w:rsidP="00A83F02">
            <w:pPr>
              <w:pStyle w:val="KUJKtucny"/>
            </w:pPr>
            <w:r>
              <w:t>Bod programu:</w:t>
            </w:r>
          </w:p>
        </w:tc>
        <w:tc>
          <w:tcPr>
            <w:tcW w:w="850" w:type="dxa"/>
          </w:tcPr>
          <w:p w14:paraId="4575A0F3" w14:textId="77777777" w:rsidR="00580B0C" w:rsidRDefault="00580B0C" w:rsidP="00A83F02">
            <w:pPr>
              <w:pStyle w:val="KUJKnormal"/>
            </w:pPr>
          </w:p>
        </w:tc>
      </w:tr>
      <w:tr w:rsidR="00580B0C" w14:paraId="54AE7615" w14:textId="77777777" w:rsidTr="000D0D3F">
        <w:trPr>
          <w:cantSplit/>
          <w:trHeight w:hRule="exact" w:val="397"/>
        </w:trPr>
        <w:tc>
          <w:tcPr>
            <w:tcW w:w="2376" w:type="dxa"/>
            <w:hideMark/>
          </w:tcPr>
          <w:p w14:paraId="0DC0169B" w14:textId="77777777" w:rsidR="00580B0C" w:rsidRDefault="00580B0C" w:rsidP="00A83F02">
            <w:pPr>
              <w:pStyle w:val="KUJKtucny"/>
            </w:pPr>
            <w:r>
              <w:t>Číslo návrhu:</w:t>
            </w:r>
          </w:p>
        </w:tc>
        <w:tc>
          <w:tcPr>
            <w:tcW w:w="6804" w:type="dxa"/>
            <w:gridSpan w:val="3"/>
            <w:hideMark/>
          </w:tcPr>
          <w:p w14:paraId="1D2FFA9F" w14:textId="77777777" w:rsidR="00580B0C" w:rsidRDefault="00580B0C" w:rsidP="00A83F02">
            <w:pPr>
              <w:pStyle w:val="KUJKnormal"/>
            </w:pPr>
            <w:r>
              <w:t>238/ZK/21</w:t>
            </w:r>
          </w:p>
        </w:tc>
      </w:tr>
      <w:tr w:rsidR="00580B0C" w14:paraId="528DFD75" w14:textId="77777777" w:rsidTr="000D0D3F">
        <w:trPr>
          <w:trHeight w:val="397"/>
        </w:trPr>
        <w:tc>
          <w:tcPr>
            <w:tcW w:w="2376" w:type="dxa"/>
          </w:tcPr>
          <w:p w14:paraId="43F4F90B" w14:textId="77777777" w:rsidR="00580B0C" w:rsidRDefault="00580B0C" w:rsidP="00A83F02"/>
          <w:p w14:paraId="2802E6AD" w14:textId="77777777" w:rsidR="00580B0C" w:rsidRDefault="00580B0C" w:rsidP="00A83F02">
            <w:pPr>
              <w:pStyle w:val="KUJKtucny"/>
            </w:pPr>
            <w:r>
              <w:t>Název bodu:</w:t>
            </w:r>
          </w:p>
        </w:tc>
        <w:tc>
          <w:tcPr>
            <w:tcW w:w="6804" w:type="dxa"/>
            <w:gridSpan w:val="3"/>
          </w:tcPr>
          <w:p w14:paraId="12583FDC" w14:textId="77777777" w:rsidR="00580B0C" w:rsidRDefault="00580B0C" w:rsidP="00A83F02"/>
          <w:p w14:paraId="5E96998F" w14:textId="77777777" w:rsidR="00580B0C" w:rsidRDefault="00580B0C" w:rsidP="00A83F02">
            <w:pPr>
              <w:pStyle w:val="KUJKtucny"/>
              <w:rPr>
                <w:sz w:val="22"/>
                <w:szCs w:val="22"/>
              </w:rPr>
            </w:pPr>
            <w:r>
              <w:rPr>
                <w:sz w:val="22"/>
                <w:szCs w:val="22"/>
              </w:rPr>
              <w:t>Individuální dotace na zajištění programu Jihočeských podnikatelských voucherů Jihočeského vědeckotechnického parku, a.s. na období 2021/2022</w:t>
            </w:r>
          </w:p>
        </w:tc>
      </w:tr>
    </w:tbl>
    <w:p w14:paraId="2C414AAC" w14:textId="77777777" w:rsidR="00580B0C" w:rsidRDefault="00580B0C" w:rsidP="000D0D3F">
      <w:pPr>
        <w:pStyle w:val="KUJKnormal"/>
        <w:rPr>
          <w:b/>
          <w:bCs/>
        </w:rPr>
      </w:pPr>
      <w:r>
        <w:rPr>
          <w:b/>
          <w:bCs/>
        </w:rPr>
        <w:pict w14:anchorId="6C630EDA">
          <v:rect id="_x0000_i1029" style="width:453.6pt;height:1.5pt" o:hralign="center" o:hrstd="t" o:hrnoshade="t" o:hr="t" fillcolor="black" stroked="f"/>
        </w:pict>
      </w:r>
    </w:p>
    <w:p w14:paraId="5FDA61CE" w14:textId="77777777" w:rsidR="00580B0C" w:rsidRDefault="00580B0C" w:rsidP="000D0D3F">
      <w:pPr>
        <w:pStyle w:val="KUJKnormal"/>
      </w:pPr>
    </w:p>
    <w:p w14:paraId="57E6F3F3" w14:textId="77777777" w:rsidR="00580B0C" w:rsidRDefault="00580B0C" w:rsidP="000D0D3F">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580B0C" w14:paraId="7C682272" w14:textId="77777777" w:rsidTr="00A83F02">
        <w:trPr>
          <w:trHeight w:val="397"/>
        </w:trPr>
        <w:tc>
          <w:tcPr>
            <w:tcW w:w="2350" w:type="dxa"/>
            <w:hideMark/>
          </w:tcPr>
          <w:p w14:paraId="5229A27E" w14:textId="77777777" w:rsidR="00580B0C" w:rsidRDefault="00580B0C" w:rsidP="00A83F02">
            <w:pPr>
              <w:pStyle w:val="KUJKtucny"/>
            </w:pPr>
            <w:r>
              <w:t>Předkladatel:</w:t>
            </w:r>
          </w:p>
        </w:tc>
        <w:tc>
          <w:tcPr>
            <w:tcW w:w="6862" w:type="dxa"/>
          </w:tcPr>
          <w:p w14:paraId="224BA739" w14:textId="77777777" w:rsidR="00580B0C" w:rsidRDefault="00580B0C" w:rsidP="00A83F02">
            <w:pPr>
              <w:pStyle w:val="KUJKnormal"/>
            </w:pPr>
            <w:r>
              <w:t>doc. Ing. Lucie Kozlová, Ph.D.</w:t>
            </w:r>
          </w:p>
          <w:p w14:paraId="4B5AFB51" w14:textId="77777777" w:rsidR="00580B0C" w:rsidRDefault="00580B0C" w:rsidP="00A83F02"/>
        </w:tc>
      </w:tr>
      <w:tr w:rsidR="00580B0C" w14:paraId="2FA802C4" w14:textId="77777777" w:rsidTr="00A83F02">
        <w:trPr>
          <w:trHeight w:val="397"/>
        </w:trPr>
        <w:tc>
          <w:tcPr>
            <w:tcW w:w="2350" w:type="dxa"/>
          </w:tcPr>
          <w:p w14:paraId="41FE6F51" w14:textId="77777777" w:rsidR="00580B0C" w:rsidRDefault="00580B0C" w:rsidP="00A83F02">
            <w:pPr>
              <w:pStyle w:val="KUJKtucny"/>
            </w:pPr>
            <w:r>
              <w:t>Zpracoval:</w:t>
            </w:r>
          </w:p>
          <w:p w14:paraId="590152A9" w14:textId="77777777" w:rsidR="00580B0C" w:rsidRDefault="00580B0C" w:rsidP="00A83F02"/>
        </w:tc>
        <w:tc>
          <w:tcPr>
            <w:tcW w:w="6862" w:type="dxa"/>
            <w:hideMark/>
          </w:tcPr>
          <w:p w14:paraId="22CD0E3D" w14:textId="77777777" w:rsidR="00580B0C" w:rsidRDefault="00580B0C" w:rsidP="00A83F02">
            <w:pPr>
              <w:pStyle w:val="KUJKnormal"/>
            </w:pPr>
            <w:r>
              <w:t>OREG</w:t>
            </w:r>
          </w:p>
        </w:tc>
      </w:tr>
      <w:tr w:rsidR="00580B0C" w14:paraId="341723D4" w14:textId="77777777" w:rsidTr="00A83F02">
        <w:trPr>
          <w:trHeight w:val="397"/>
        </w:trPr>
        <w:tc>
          <w:tcPr>
            <w:tcW w:w="2350" w:type="dxa"/>
          </w:tcPr>
          <w:p w14:paraId="5B7EF36A" w14:textId="77777777" w:rsidR="00580B0C" w:rsidRPr="009715F9" w:rsidRDefault="00580B0C" w:rsidP="00A83F02">
            <w:pPr>
              <w:pStyle w:val="KUJKnormal"/>
              <w:rPr>
                <w:b/>
              </w:rPr>
            </w:pPr>
            <w:r w:rsidRPr="009715F9">
              <w:rPr>
                <w:b/>
              </w:rPr>
              <w:t>Vedoucí odboru:</w:t>
            </w:r>
          </w:p>
          <w:p w14:paraId="304D1E06" w14:textId="77777777" w:rsidR="00580B0C" w:rsidRDefault="00580B0C" w:rsidP="00A83F02"/>
        </w:tc>
        <w:tc>
          <w:tcPr>
            <w:tcW w:w="6862" w:type="dxa"/>
            <w:hideMark/>
          </w:tcPr>
          <w:p w14:paraId="198590F7" w14:textId="77777777" w:rsidR="00580B0C" w:rsidRDefault="00580B0C" w:rsidP="00A83F02">
            <w:pPr>
              <w:pStyle w:val="KUJKnormal"/>
            </w:pPr>
            <w:r>
              <w:t>Ing. Luboš Průcha</w:t>
            </w:r>
          </w:p>
        </w:tc>
      </w:tr>
    </w:tbl>
    <w:p w14:paraId="76C65C85" w14:textId="77777777" w:rsidR="00580B0C" w:rsidRDefault="00580B0C" w:rsidP="000D0D3F">
      <w:pPr>
        <w:pStyle w:val="KUJKnormal"/>
      </w:pPr>
    </w:p>
    <w:p w14:paraId="32D858B9" w14:textId="77777777" w:rsidR="00580B0C" w:rsidRPr="0052161F" w:rsidRDefault="00580B0C" w:rsidP="000D0D3F">
      <w:pPr>
        <w:pStyle w:val="KUJKtucny"/>
      </w:pPr>
      <w:r w:rsidRPr="0052161F">
        <w:t>NÁVRH USNESENÍ</w:t>
      </w:r>
    </w:p>
    <w:p w14:paraId="30D0752B" w14:textId="77777777" w:rsidR="00580B0C" w:rsidRDefault="00580B0C" w:rsidP="000D0D3F">
      <w:pPr>
        <w:pStyle w:val="KUJKnormal"/>
        <w:rPr>
          <w:rFonts w:ascii="Calibri" w:hAnsi="Calibri" w:cs="Calibri"/>
          <w:sz w:val="12"/>
          <w:szCs w:val="12"/>
        </w:rPr>
      </w:pPr>
      <w:bookmarkStart w:id="1" w:name="US_ZaVeVeci"/>
      <w:bookmarkEnd w:id="1"/>
    </w:p>
    <w:p w14:paraId="482BC2CB" w14:textId="77777777" w:rsidR="00580B0C" w:rsidRDefault="00580B0C" w:rsidP="00580B0C">
      <w:pPr>
        <w:pStyle w:val="KUJKPolozka"/>
        <w:spacing w:line="240" w:lineRule="auto"/>
      </w:pPr>
      <w:r w:rsidRPr="00841DFC">
        <w:t>Zastupitelstvo Jihočeského kraje</w:t>
      </w:r>
    </w:p>
    <w:p w14:paraId="51DCCD39" w14:textId="77777777" w:rsidR="00580B0C" w:rsidRDefault="00580B0C" w:rsidP="00580B0C">
      <w:pPr>
        <w:pStyle w:val="KUJKdoplnek2"/>
        <w:spacing w:line="240" w:lineRule="auto"/>
        <w:ind w:left="357" w:hanging="357"/>
      </w:pPr>
      <w:r w:rsidRPr="00730306">
        <w:t>bere na vědomí</w:t>
      </w:r>
    </w:p>
    <w:p w14:paraId="1EB9D7A1" w14:textId="77777777" w:rsidR="00580B0C" w:rsidRDefault="00580B0C" w:rsidP="00BC0A46">
      <w:pPr>
        <w:pStyle w:val="KUJKnormal"/>
      </w:pPr>
      <w:r>
        <w:t>1. žádost Jihočeského vědeckotechnického parku, a.s., IČO 28080581, o poskytnutí individuální dotace dle přílohy č. 1, návrhu č. 238/ZK/21;</w:t>
      </w:r>
    </w:p>
    <w:p w14:paraId="5A91FFBF" w14:textId="77777777" w:rsidR="00580B0C" w:rsidRDefault="00580B0C" w:rsidP="00BC0A46">
      <w:pPr>
        <w:pStyle w:val="KUJKnormal"/>
      </w:pPr>
      <w:r>
        <w:t>2. rozsah činností dle přílohy č. 4, návrhu č. 238/ZK/21, které vykonává Jihočeský vědeckotechnický park, a.s., IČO 28080581, ve veřejném zájmu kraje;</w:t>
      </w:r>
    </w:p>
    <w:p w14:paraId="2E0D2E6F" w14:textId="77777777" w:rsidR="00580B0C" w:rsidRDefault="00580B0C" w:rsidP="00BC0A46">
      <w:pPr>
        <w:pStyle w:val="KUJKnormal"/>
      </w:pPr>
      <w:r>
        <w:t xml:space="preserve">3. předloženou kalkulaci vyrovnávací platby pro vyčíslení ztráty z činnosti obecného hospodářského zájmu spojeného se zajištěním programu Jihočeských podnikatelských voucherů dle přílohy č. 2, návrhu </w:t>
      </w:r>
    </w:p>
    <w:p w14:paraId="4ABB2F51" w14:textId="77777777" w:rsidR="00580B0C" w:rsidRDefault="00580B0C" w:rsidP="00BC0A46">
      <w:pPr>
        <w:pStyle w:val="KUJKnormal"/>
      </w:pPr>
      <w:r>
        <w:t>č. 238/ZK/21;</w:t>
      </w:r>
    </w:p>
    <w:p w14:paraId="0A130BD9" w14:textId="77777777" w:rsidR="00580B0C" w:rsidRPr="00E10FE7" w:rsidRDefault="00580B0C" w:rsidP="00580B0C">
      <w:pPr>
        <w:pStyle w:val="KUJKdoplnek2"/>
        <w:spacing w:line="240" w:lineRule="auto"/>
      </w:pPr>
      <w:r w:rsidRPr="00AF7BAE">
        <w:t>schvaluje</w:t>
      </w:r>
    </w:p>
    <w:p w14:paraId="17BA3A02" w14:textId="77777777" w:rsidR="00580B0C" w:rsidRDefault="00580B0C" w:rsidP="00BC0A46">
      <w:pPr>
        <w:pStyle w:val="KUJKnormal"/>
      </w:pPr>
      <w:r>
        <w:t>1. poskytnutí dotace na úhradu ztráty z činnosti obecného hospodářského zájmu spojeného se zajištěním programu Jihočeských podnikatelských voucherů Jihočeského vědeckotechnického parku, a.s., IČO 28080581 ve výši 2 000 000,- Kč;</w:t>
      </w:r>
    </w:p>
    <w:p w14:paraId="5E501EB7" w14:textId="77777777" w:rsidR="00580B0C" w:rsidRDefault="00580B0C" w:rsidP="00BC0A46">
      <w:pPr>
        <w:pStyle w:val="KUJKnormal"/>
      </w:pPr>
      <w:r>
        <w:t>2. rozsah činností dle přílohy č. 4, návrhu č. 238/ZK/21, které vykonává Jihočeský vědeckotechnický park, a.s. IČO 28080581, ve veřejném zájmu kraje;</w:t>
      </w:r>
    </w:p>
    <w:p w14:paraId="42B730F7" w14:textId="77777777" w:rsidR="00580B0C" w:rsidRDefault="00580B0C" w:rsidP="00BC0A46">
      <w:pPr>
        <w:pStyle w:val="KUJKnormal"/>
      </w:pPr>
      <w:r>
        <w:t xml:space="preserve">3. předloženou kalkulaci vyrovnávací platby pro vyčíslení ztráty z činnosti dle přílohy č. 2, návrhu </w:t>
      </w:r>
    </w:p>
    <w:p w14:paraId="08DE4F72" w14:textId="77777777" w:rsidR="00580B0C" w:rsidRDefault="00580B0C" w:rsidP="00BC0A46">
      <w:pPr>
        <w:pStyle w:val="KUJKnormal"/>
      </w:pPr>
      <w:r>
        <w:t>č. 238/ZK/21;</w:t>
      </w:r>
    </w:p>
    <w:p w14:paraId="539A887A" w14:textId="77777777" w:rsidR="00580B0C" w:rsidRDefault="00580B0C" w:rsidP="00BC0A46">
      <w:pPr>
        <w:pStyle w:val="KUJKnormal"/>
      </w:pPr>
      <w:r>
        <w:t>4. návrh veřejnoprávní smlouvy o poskytnutí dotace na úhradu ztráty z činnosti obecného hospodářského zájmu spojeného se zajištěním programu Jihočeských podnikatelských voucherů ve znění přílohy č. 3, návrhu č. 238/ZK/21;</w:t>
      </w:r>
    </w:p>
    <w:p w14:paraId="6A7295C5" w14:textId="77777777" w:rsidR="00580B0C" w:rsidRDefault="00580B0C" w:rsidP="00580B0C">
      <w:pPr>
        <w:pStyle w:val="KUJKdoplnek2"/>
        <w:spacing w:line="240" w:lineRule="auto"/>
      </w:pPr>
      <w:r w:rsidRPr="0021676C">
        <w:t>ukládá</w:t>
      </w:r>
    </w:p>
    <w:p w14:paraId="48E8A485" w14:textId="77777777" w:rsidR="00580B0C" w:rsidRDefault="00580B0C" w:rsidP="00BC0A46">
      <w:pPr>
        <w:pStyle w:val="KUJKnormal"/>
      </w:pPr>
      <w:r>
        <w:t xml:space="preserve">JUDr. Lukáši Glaserovi, pověřenému vedením krajského úřadu, </w:t>
      </w:r>
      <w:r w:rsidRPr="00BC0A46">
        <w:t>zabezpečit veškeré úkony potřebné k realizaci části II. usnesení</w:t>
      </w:r>
      <w:r>
        <w:t>.</w:t>
      </w:r>
    </w:p>
    <w:p w14:paraId="1FFC691F" w14:textId="77777777" w:rsidR="00580B0C" w:rsidRDefault="00580B0C" w:rsidP="00BC0A46">
      <w:pPr>
        <w:pStyle w:val="KUJKnormal"/>
      </w:pPr>
    </w:p>
    <w:p w14:paraId="315985D5" w14:textId="77777777" w:rsidR="00580B0C" w:rsidRDefault="00580B0C" w:rsidP="00BC0A46">
      <w:pPr>
        <w:pStyle w:val="KUJKmezeraDZ"/>
      </w:pPr>
      <w:bookmarkStart w:id="2" w:name="US_DuvodZprava"/>
      <w:bookmarkEnd w:id="2"/>
    </w:p>
    <w:p w14:paraId="526FFF5D" w14:textId="77777777" w:rsidR="00580B0C" w:rsidRDefault="00580B0C" w:rsidP="00BC0A46">
      <w:pPr>
        <w:pStyle w:val="KUJKnadpisDZ"/>
      </w:pPr>
      <w:r>
        <w:t>DŮVODOVÁ ZPRÁVA</w:t>
      </w:r>
    </w:p>
    <w:p w14:paraId="2DA47B76" w14:textId="77777777" w:rsidR="00580B0C" w:rsidRPr="009B7B0B" w:rsidRDefault="00580B0C" w:rsidP="00BC0A46">
      <w:pPr>
        <w:pStyle w:val="KUJKmezeraDZ"/>
      </w:pPr>
    </w:p>
    <w:p w14:paraId="1A212E31" w14:textId="77777777" w:rsidR="00580B0C" w:rsidRDefault="00580B0C" w:rsidP="007B1383">
      <w:pPr>
        <w:pStyle w:val="KUJKnormal"/>
        <w:rPr>
          <w:sz w:val="28"/>
        </w:rPr>
      </w:pPr>
      <w:r>
        <w:lastRenderedPageBreak/>
        <w:t xml:space="preserve">Tato dotace bude schválena jako podpora ve veřejném zájmu kraje a bude poskytnuta formou vyrovnávací platby za závazek veřejné služby dle Rozhodnutí Komise č. 2012/21/EU ze dne 20. prosince 2011 o použití čl. 106, odst. 2 Smlouvy o fungování ES na státní podporu ve formě vyrovnávací platby za závazek veřejné služby udělené určitým podnikům pověřeným poskytováním služeb obecného hospodářského zájmu. </w:t>
      </w:r>
    </w:p>
    <w:p w14:paraId="05F5DCDB" w14:textId="77777777" w:rsidR="00580B0C" w:rsidRDefault="00580B0C" w:rsidP="007B1383">
      <w:pPr>
        <w:pStyle w:val="KUJKnormal"/>
      </w:pPr>
    </w:p>
    <w:p w14:paraId="442662DF" w14:textId="77777777" w:rsidR="00580B0C" w:rsidRDefault="00580B0C" w:rsidP="007B1383">
      <w:pPr>
        <w:pStyle w:val="KUJKnormal"/>
      </w:pPr>
      <w:r>
        <w:t xml:space="preserve">Kraj touto dotací přispívá na úhradu nákladů z činností spojených s administrací programu „Jihočeské podnikatelské vouchery" a zároveň k předávání hodnoty dotace z MPO po dobu udržitelnosti. Tento program podporuje spolupráci mezi podnikatelskými subjekty z Jihočeského kraje a výzkumnými organizacemi z České republiky. Cílem programu je stimulovat podnikatelské subjekty k uskutečnění kontaktu </w:t>
      </w:r>
      <w:r>
        <w:br/>
        <w:t xml:space="preserve">s poskytovateli znalostí a k zahájení či rozšíření vzájemné spolupráce. Podnikatelské subjekty tímto mohou získat voucher na poskytnutí zvýhodněných služeb založených na nových znalostech pro podnikatelský subjekt. Díky podnikatelskému voucheru mohou firmy využít kapacit, kterými samy nedisponují, k zahájení nebo zintenzívnění svých inovačních aktivit a ke zvýšení svého inovačního potenciálu. Firmy a výzkumné organizace si při účasti v programu ověří schopnost vzájemně spolupracovat a vytvoří si základy pro dlouhodobou spolupráci. Výzkumné organizace díky zkušenostem ze spolupráce s podniky mohou dále zkvalitňovat nabídku svých kapacit směrem k firmám, zároveň tím dostávají náměty pro další výzkumnou práci a pro zlepšení výuky. Program by měl přispět ke zvýšení konkurenceschopnosti podnikatelských subjektů v Jihočeském kraji. </w:t>
      </w:r>
    </w:p>
    <w:p w14:paraId="0FABF063" w14:textId="77777777" w:rsidR="00580B0C" w:rsidRDefault="00580B0C" w:rsidP="007B1383">
      <w:pPr>
        <w:pStyle w:val="KUJKnormal"/>
      </w:pPr>
    </w:p>
    <w:p w14:paraId="5231C49B" w14:textId="77777777" w:rsidR="00580B0C" w:rsidRDefault="00580B0C" w:rsidP="007B1383">
      <w:pPr>
        <w:pStyle w:val="KUJKnormal"/>
      </w:pPr>
      <w:r>
        <w:t>Z důvodu zajištění slučitelnosti podpory je nutné předem stanovit ukazatele pro výpočet výše vyrovnávací platby, na jejichž základě je kalkulována kompenzace.</w:t>
      </w:r>
      <w:r>
        <w:rPr>
          <w:color w:val="FF0000"/>
        </w:rPr>
        <w:t xml:space="preserve"> </w:t>
      </w:r>
      <w:r>
        <w:t>Výše této vyrovnávací platby je omezena rozsahem nezbytným k pokrytí veškerých nákladů vynaložených při plnění závazků veřejné služby, přičemž je třeba zohlednit příslušné příjmy a přiměřený zisk. V tomto smyslu byla také zpracována kalkulace vyrovnávací platby za závazek veřejné služby, která je nyní společně s činnostmi ve veřejném zájmu předmětem schvalování.</w:t>
      </w:r>
    </w:p>
    <w:p w14:paraId="5A504274" w14:textId="77777777" w:rsidR="00580B0C" w:rsidRDefault="00580B0C" w:rsidP="007B1383">
      <w:pPr>
        <w:pStyle w:val="KUJKnormal"/>
      </w:pPr>
    </w:p>
    <w:p w14:paraId="5412354E" w14:textId="77777777" w:rsidR="00580B0C" w:rsidRPr="00DA7ABC" w:rsidRDefault="00580B0C" w:rsidP="007B1383">
      <w:pPr>
        <w:jc w:val="both"/>
        <w:rPr>
          <w:rFonts w:ascii="Arial" w:hAnsi="Arial" w:cs="Arial"/>
          <w:szCs w:val="20"/>
        </w:rPr>
      </w:pPr>
      <w:r w:rsidRPr="00DA7ABC">
        <w:rPr>
          <w:rFonts w:ascii="Arial" w:hAnsi="Arial" w:cs="Arial"/>
          <w:szCs w:val="20"/>
        </w:rPr>
        <w:t>Program Jihočeské podnikatelské vouchery realizuje Jihočeský vědeckotechnický park, a.s. s finanční garancí  Jihočeského kraje již od roku 2014. Za tuto dobu proběhlo sedm ročníků tohoto programu a bylo podpořeno 97 firem a poskytnutá dotace v celkové výši činila více než 11 mil Kč.</w:t>
      </w:r>
    </w:p>
    <w:p w14:paraId="5993D105" w14:textId="77777777" w:rsidR="00580B0C" w:rsidRPr="00DA7ABC" w:rsidRDefault="00580B0C" w:rsidP="007B1383">
      <w:pPr>
        <w:spacing w:before="240" w:after="240"/>
        <w:ind w:right="-2"/>
        <w:jc w:val="both"/>
        <w:rPr>
          <w:rFonts w:ascii="Arial" w:hAnsi="Arial" w:cs="Arial"/>
          <w:iCs/>
          <w:szCs w:val="20"/>
        </w:rPr>
      </w:pPr>
      <w:r w:rsidRPr="00DA7ABC">
        <w:rPr>
          <w:rFonts w:ascii="Arial" w:hAnsi="Arial" w:cs="Arial"/>
          <w:iCs/>
          <w:szCs w:val="20"/>
        </w:rPr>
        <w:t xml:space="preserve">Pro ročník 2021/22 připravil Jihočeský vědeckotechnický park, a.s. ve spolupráci s Odbory kultury </w:t>
      </w:r>
      <w:r>
        <w:rPr>
          <w:rFonts w:ascii="Arial" w:hAnsi="Arial" w:cs="Arial"/>
          <w:iCs/>
          <w:szCs w:val="20"/>
        </w:rPr>
        <w:br/>
      </w:r>
      <w:r w:rsidRPr="00DA7ABC">
        <w:rPr>
          <w:rFonts w:ascii="Arial" w:hAnsi="Arial" w:cs="Arial"/>
          <w:iCs/>
          <w:szCs w:val="20"/>
        </w:rPr>
        <w:t>a památkové péče a Odborem regionálního rozvoje Krajského úřadu Jihočeského kraje návrh na rozdělení schválené alokace programu Jihočeských podnikatelských voucherů takto:</w:t>
      </w:r>
    </w:p>
    <w:p w14:paraId="16C684EF" w14:textId="77777777" w:rsidR="00580B0C" w:rsidRPr="00DA7ABC" w:rsidRDefault="00580B0C" w:rsidP="007B1383">
      <w:pPr>
        <w:widowControl w:val="0"/>
        <w:ind w:right="40"/>
        <w:jc w:val="both"/>
        <w:rPr>
          <w:rFonts w:ascii="Arial" w:hAnsi="Arial" w:cs="Arial"/>
          <w:iCs/>
          <w:szCs w:val="20"/>
        </w:rPr>
      </w:pPr>
      <w:r w:rsidRPr="00DA7ABC">
        <w:rPr>
          <w:rFonts w:ascii="Arial" w:hAnsi="Arial" w:cs="Arial"/>
          <w:iCs/>
          <w:szCs w:val="20"/>
        </w:rPr>
        <w:t xml:space="preserve">A)  </w:t>
      </w:r>
      <w:r w:rsidRPr="00DA7ABC">
        <w:rPr>
          <w:rFonts w:ascii="Arial" w:hAnsi="Arial" w:cs="Arial"/>
          <w:b/>
          <w:iCs/>
          <w:szCs w:val="20"/>
        </w:rPr>
        <w:t>1 mil</w:t>
      </w:r>
      <w:r>
        <w:rPr>
          <w:rFonts w:ascii="Arial" w:hAnsi="Arial" w:cs="Arial"/>
          <w:b/>
          <w:iCs/>
          <w:szCs w:val="20"/>
        </w:rPr>
        <w:t>.</w:t>
      </w:r>
      <w:r w:rsidRPr="00DA7ABC">
        <w:rPr>
          <w:rFonts w:ascii="Arial" w:hAnsi="Arial" w:cs="Arial"/>
          <w:b/>
          <w:iCs/>
          <w:szCs w:val="20"/>
        </w:rPr>
        <w:t xml:space="preserve"> Kč na „Inovační vouchery“</w:t>
      </w:r>
    </w:p>
    <w:p w14:paraId="58E68FAD" w14:textId="77777777" w:rsidR="00580B0C" w:rsidRPr="00DA7ABC" w:rsidRDefault="00580B0C" w:rsidP="007B1383">
      <w:pPr>
        <w:pStyle w:val="Zkladntext2"/>
        <w:spacing w:after="0" w:line="240" w:lineRule="auto"/>
        <w:jc w:val="both"/>
        <w:rPr>
          <w:rFonts w:ascii="Arial" w:hAnsi="Arial" w:cs="Arial"/>
          <w:b/>
          <w:iCs/>
          <w:sz w:val="20"/>
          <w:szCs w:val="20"/>
        </w:rPr>
      </w:pPr>
      <w:r w:rsidRPr="00DA7ABC">
        <w:rPr>
          <w:rFonts w:ascii="Arial" w:hAnsi="Arial" w:cs="Arial"/>
          <w:iCs/>
          <w:sz w:val="20"/>
          <w:szCs w:val="20"/>
        </w:rPr>
        <w:t xml:space="preserve">B)  </w:t>
      </w:r>
      <w:r w:rsidRPr="00DA7ABC">
        <w:rPr>
          <w:rFonts w:ascii="Arial" w:hAnsi="Arial" w:cs="Arial"/>
          <w:b/>
          <w:iCs/>
          <w:sz w:val="20"/>
          <w:szCs w:val="20"/>
        </w:rPr>
        <w:t>1 mil</w:t>
      </w:r>
      <w:r>
        <w:rPr>
          <w:rFonts w:ascii="Arial" w:hAnsi="Arial" w:cs="Arial"/>
          <w:b/>
          <w:iCs/>
          <w:sz w:val="20"/>
          <w:szCs w:val="20"/>
        </w:rPr>
        <w:t>.</w:t>
      </w:r>
      <w:r w:rsidRPr="00DA7ABC">
        <w:rPr>
          <w:rFonts w:ascii="Arial" w:hAnsi="Arial" w:cs="Arial"/>
          <w:b/>
          <w:iCs/>
          <w:sz w:val="20"/>
          <w:szCs w:val="20"/>
        </w:rPr>
        <w:t xml:space="preserve"> Kč na „Kreativní vouchery“</w:t>
      </w:r>
    </w:p>
    <w:p w14:paraId="2022CB4C" w14:textId="77777777" w:rsidR="00580B0C" w:rsidRPr="00DA7ABC" w:rsidRDefault="00580B0C" w:rsidP="007B1383">
      <w:pPr>
        <w:pStyle w:val="Zkladntext2"/>
        <w:spacing w:after="0" w:line="240" w:lineRule="auto"/>
        <w:jc w:val="both"/>
        <w:rPr>
          <w:rFonts w:ascii="Arial" w:hAnsi="Arial" w:cs="Arial"/>
          <w:sz w:val="20"/>
          <w:szCs w:val="20"/>
        </w:rPr>
      </w:pPr>
    </w:p>
    <w:p w14:paraId="71DDE837" w14:textId="77777777" w:rsidR="00580B0C" w:rsidRDefault="00580B0C" w:rsidP="007B1383">
      <w:pPr>
        <w:ind w:right="-28"/>
        <w:jc w:val="both"/>
        <w:rPr>
          <w:rFonts w:ascii="Arial" w:hAnsi="Arial" w:cs="Arial"/>
          <w:iCs/>
          <w:szCs w:val="20"/>
        </w:rPr>
      </w:pPr>
      <w:r w:rsidRPr="00DA7ABC">
        <w:rPr>
          <w:rFonts w:ascii="Arial" w:hAnsi="Arial" w:cs="Arial"/>
          <w:color w:val="000000"/>
          <w:szCs w:val="20"/>
        </w:rPr>
        <w:t xml:space="preserve">Výše finanční podpory činí v maximální výši 75 % celkových způsobilých výdajů předkládaného projektu, </w:t>
      </w:r>
      <w:r>
        <w:rPr>
          <w:rFonts w:ascii="Arial" w:hAnsi="Arial" w:cs="Arial"/>
          <w:color w:val="000000"/>
          <w:szCs w:val="20"/>
        </w:rPr>
        <w:br/>
      </w:r>
      <w:r w:rsidRPr="00DA7ABC">
        <w:rPr>
          <w:rFonts w:ascii="Arial" w:hAnsi="Arial" w:cs="Arial"/>
          <w:color w:val="000000"/>
          <w:szCs w:val="20"/>
        </w:rPr>
        <w:t xml:space="preserve">25 % způsobilých výdajů příjemce voucheru, tj. malý a střední podnik, financuje z vlastních zdrojů. </w:t>
      </w:r>
      <w:r w:rsidRPr="00DA7ABC">
        <w:rPr>
          <w:rFonts w:ascii="Arial" w:hAnsi="Arial" w:cs="Arial"/>
          <w:iCs/>
          <w:szCs w:val="20"/>
        </w:rPr>
        <w:t xml:space="preserve">Hodnota podnikatelského voucheru (dotace) pro aktivitu Inovační vouchery zůstává zachována ve stejném rozsahu jako v předcházejících ročnících tj. 50 0000 - 150 000 Kč. </w:t>
      </w:r>
    </w:p>
    <w:p w14:paraId="69227C5D" w14:textId="77777777" w:rsidR="00580B0C" w:rsidRDefault="00580B0C" w:rsidP="007B1383">
      <w:pPr>
        <w:ind w:right="-28"/>
        <w:jc w:val="both"/>
        <w:rPr>
          <w:rFonts w:ascii="Arial" w:hAnsi="Arial" w:cs="Arial"/>
          <w:iCs/>
          <w:szCs w:val="20"/>
        </w:rPr>
      </w:pPr>
    </w:p>
    <w:p w14:paraId="6B09FBAF" w14:textId="77777777" w:rsidR="00580B0C" w:rsidRPr="00DA7ABC" w:rsidRDefault="00580B0C" w:rsidP="007B1383">
      <w:pPr>
        <w:ind w:right="-28"/>
        <w:jc w:val="both"/>
        <w:rPr>
          <w:rFonts w:ascii="Arial" w:hAnsi="Arial" w:cs="Arial"/>
          <w:color w:val="000000"/>
          <w:szCs w:val="20"/>
        </w:rPr>
      </w:pPr>
      <w:r w:rsidRPr="00DA7ABC">
        <w:rPr>
          <w:rFonts w:ascii="Arial" w:hAnsi="Arial" w:cs="Arial"/>
          <w:iCs/>
          <w:szCs w:val="20"/>
        </w:rPr>
        <w:t xml:space="preserve">Hodnota podnikatelského voucheru (dotace) pro Kreativní vouchery je navrhována v rozsahu </w:t>
      </w:r>
      <w:r>
        <w:rPr>
          <w:rFonts w:ascii="Arial" w:hAnsi="Arial" w:cs="Arial"/>
          <w:iCs/>
          <w:szCs w:val="20"/>
        </w:rPr>
        <w:br/>
      </w:r>
      <w:r w:rsidRPr="00DA7ABC">
        <w:rPr>
          <w:rFonts w:ascii="Arial" w:hAnsi="Arial" w:cs="Arial"/>
          <w:iCs/>
          <w:szCs w:val="20"/>
        </w:rPr>
        <w:t>30 000 - 75 000 Kč.</w:t>
      </w:r>
    </w:p>
    <w:p w14:paraId="79096B19" w14:textId="77777777" w:rsidR="00580B0C" w:rsidRPr="00DA7ABC" w:rsidRDefault="00580B0C" w:rsidP="007B1383">
      <w:pPr>
        <w:pStyle w:val="Normlnweb"/>
        <w:shd w:val="clear" w:color="auto" w:fill="FFFFFF"/>
        <w:spacing w:before="0" w:beforeAutospacing="0" w:after="0" w:afterAutospacing="0" w:line="259" w:lineRule="auto"/>
        <w:jc w:val="both"/>
        <w:rPr>
          <w:rFonts w:ascii="Arial" w:eastAsia="Calibri" w:hAnsi="Arial" w:cs="Arial"/>
          <w:iCs/>
          <w:sz w:val="20"/>
          <w:szCs w:val="20"/>
          <w:lang w:eastAsia="en-US"/>
        </w:rPr>
      </w:pPr>
    </w:p>
    <w:p w14:paraId="795E881A" w14:textId="77777777" w:rsidR="00580B0C" w:rsidRPr="00DA7ABC" w:rsidRDefault="00580B0C" w:rsidP="007B1383">
      <w:pPr>
        <w:pStyle w:val="Normlnweb"/>
        <w:shd w:val="clear" w:color="auto" w:fill="FFFFFF"/>
        <w:spacing w:before="0" w:beforeAutospacing="0" w:after="0" w:afterAutospacing="0" w:line="259" w:lineRule="auto"/>
        <w:jc w:val="both"/>
        <w:rPr>
          <w:rFonts w:ascii="Arial" w:hAnsi="Arial" w:cs="Arial"/>
          <w:iCs/>
          <w:sz w:val="20"/>
          <w:szCs w:val="20"/>
        </w:rPr>
      </w:pPr>
      <w:r w:rsidRPr="00DA7ABC">
        <w:rPr>
          <w:rFonts w:ascii="Arial" w:eastAsia="Calibri" w:hAnsi="Arial" w:cs="Arial"/>
          <w:iCs/>
          <w:sz w:val="20"/>
          <w:szCs w:val="20"/>
          <w:lang w:eastAsia="en-US"/>
        </w:rPr>
        <w:t>Novinkou v tomto programu je zařazení podpory na Kreativní vouchery.</w:t>
      </w:r>
      <w:r>
        <w:rPr>
          <w:rFonts w:ascii="Arial" w:eastAsia="Calibri" w:hAnsi="Arial" w:cs="Arial"/>
          <w:iCs/>
          <w:sz w:val="20"/>
          <w:szCs w:val="20"/>
          <w:lang w:eastAsia="en-US"/>
        </w:rPr>
        <w:t xml:space="preserve"> </w:t>
      </w:r>
      <w:r w:rsidRPr="00DA7ABC">
        <w:rPr>
          <w:rFonts w:ascii="Arial" w:hAnsi="Arial" w:cs="Arial"/>
          <w:iCs/>
          <w:sz w:val="20"/>
          <w:szCs w:val="20"/>
        </w:rPr>
        <w:t xml:space="preserve">Před zařazením Kreativních voucherů do programu Jihočeských podnikatelských voucherů byla zpracována týmem Smart akcelerátoru 2 v Jihočeském kraji Rešerše stavu kreativních voucherů v ČR </w:t>
      </w:r>
      <w:r w:rsidRPr="002C6F02">
        <w:rPr>
          <w:rFonts w:ascii="Arial" w:hAnsi="Arial" w:cs="Arial"/>
          <w:iCs/>
          <w:sz w:val="20"/>
          <w:szCs w:val="20"/>
        </w:rPr>
        <w:t>(viz příloha č. 6)</w:t>
      </w:r>
      <w:r>
        <w:rPr>
          <w:rFonts w:ascii="Arial" w:hAnsi="Arial" w:cs="Arial"/>
          <w:iCs/>
          <w:sz w:val="20"/>
          <w:szCs w:val="20"/>
        </w:rPr>
        <w:t xml:space="preserve"> a byla</w:t>
      </w:r>
      <w:r w:rsidRPr="00DA7ABC">
        <w:rPr>
          <w:rFonts w:ascii="Arial" w:hAnsi="Arial" w:cs="Arial"/>
          <w:iCs/>
          <w:sz w:val="20"/>
          <w:szCs w:val="20"/>
        </w:rPr>
        <w:t xml:space="preserve"> představena zástupcům výše uvedených odborů Krajského úřadu Jihočeského kraje.   </w:t>
      </w:r>
    </w:p>
    <w:p w14:paraId="3A984E8C" w14:textId="77777777" w:rsidR="00580B0C" w:rsidRDefault="00580B0C" w:rsidP="007B1383">
      <w:pPr>
        <w:ind w:right="-108"/>
        <w:jc w:val="both"/>
        <w:rPr>
          <w:rFonts w:ascii="Arial" w:hAnsi="Arial" w:cs="Arial"/>
          <w:iCs/>
          <w:szCs w:val="20"/>
        </w:rPr>
      </w:pPr>
    </w:p>
    <w:p w14:paraId="000A2981" w14:textId="77777777" w:rsidR="00580B0C" w:rsidRDefault="00580B0C" w:rsidP="007B1383">
      <w:pPr>
        <w:ind w:right="-108"/>
        <w:jc w:val="both"/>
        <w:rPr>
          <w:rFonts w:ascii="Arial" w:hAnsi="Arial" w:cs="Arial"/>
          <w:iCs/>
          <w:szCs w:val="20"/>
        </w:rPr>
      </w:pPr>
      <w:r w:rsidRPr="00DA7ABC">
        <w:rPr>
          <w:rFonts w:ascii="Arial" w:hAnsi="Arial" w:cs="Arial"/>
          <w:iCs/>
          <w:szCs w:val="20"/>
        </w:rPr>
        <w:lastRenderedPageBreak/>
        <w:t>Z výše provedené rešerše je sestaveno následující srovnání vybraných parametrů jednotlivých programů kreativních voucherů. Podporu pro MSP formou poskytování kreativních voucherů realizuje 6 krajů ČR.</w:t>
      </w:r>
    </w:p>
    <w:p w14:paraId="20E6E8C5" w14:textId="77777777" w:rsidR="00580B0C" w:rsidRPr="00DA7ABC" w:rsidRDefault="00580B0C" w:rsidP="007B1383">
      <w:pPr>
        <w:ind w:right="-108"/>
        <w:jc w:val="both"/>
        <w:rPr>
          <w:rFonts w:ascii="Arial" w:hAnsi="Arial" w:cs="Arial"/>
          <w:iCs/>
          <w:szCs w:val="20"/>
        </w:rPr>
      </w:pPr>
    </w:p>
    <w:p w14:paraId="557C9C2B" w14:textId="77777777" w:rsidR="00580B0C" w:rsidRPr="00DA7ABC" w:rsidRDefault="00580B0C" w:rsidP="007B1383">
      <w:pPr>
        <w:ind w:left="-459" w:right="-108" w:firstLine="459"/>
        <w:jc w:val="both"/>
        <w:rPr>
          <w:rFonts w:ascii="Arial" w:hAnsi="Arial" w:cs="Arial"/>
          <w:b/>
          <w:i/>
          <w:iCs/>
          <w:szCs w:val="20"/>
        </w:rPr>
      </w:pPr>
      <w:r w:rsidRPr="00DA7ABC">
        <w:rPr>
          <w:rFonts w:ascii="Arial" w:hAnsi="Arial" w:cs="Arial"/>
          <w:b/>
          <w:i/>
          <w:iCs/>
          <w:szCs w:val="20"/>
        </w:rPr>
        <w:t>Základní parametry jednotlivých programů v ostatních krajích ČR</w:t>
      </w:r>
    </w:p>
    <w:tbl>
      <w:tblPr>
        <w:tblpPr w:leftFromText="141" w:rightFromText="141" w:vertAnchor="text" w:horzAnchor="margin" w:tblpXSpec="center" w:tblpY="135"/>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72"/>
        <w:gridCol w:w="2051"/>
        <w:gridCol w:w="1559"/>
        <w:gridCol w:w="1471"/>
        <w:gridCol w:w="1320"/>
        <w:gridCol w:w="1036"/>
      </w:tblGrid>
      <w:tr w:rsidR="00580B0C" w:rsidRPr="00DA7ABC" w14:paraId="36644A95" w14:textId="77777777" w:rsidTr="00A83F02">
        <w:trPr>
          <w:trHeight w:val="503"/>
        </w:trPr>
        <w:tc>
          <w:tcPr>
            <w:tcW w:w="1772" w:type="dxa"/>
            <w:shd w:val="clear" w:color="auto" w:fill="98C2E5"/>
            <w:noWrap/>
            <w:vAlign w:val="center"/>
            <w:hideMark/>
          </w:tcPr>
          <w:p w14:paraId="287FF37E" w14:textId="77777777" w:rsidR="00580B0C" w:rsidRPr="00DA7ABC" w:rsidRDefault="00580B0C" w:rsidP="00A83F02">
            <w:pPr>
              <w:rPr>
                <w:rFonts w:ascii="Arial" w:hAnsi="Arial" w:cs="Arial"/>
                <w:szCs w:val="20"/>
              </w:rPr>
            </w:pPr>
            <w:r w:rsidRPr="00DA7ABC">
              <w:rPr>
                <w:rFonts w:ascii="Arial" w:hAnsi="Arial" w:cs="Arial"/>
                <w:szCs w:val="20"/>
              </w:rPr>
              <w:t>Kraj</w:t>
            </w:r>
          </w:p>
        </w:tc>
        <w:tc>
          <w:tcPr>
            <w:tcW w:w="2051" w:type="dxa"/>
            <w:shd w:val="clear" w:color="auto" w:fill="98C2E5"/>
            <w:vAlign w:val="center"/>
            <w:hideMark/>
          </w:tcPr>
          <w:p w14:paraId="4FACE265" w14:textId="77777777" w:rsidR="00580B0C" w:rsidRPr="00DA7ABC" w:rsidRDefault="00580B0C" w:rsidP="00A83F02">
            <w:pPr>
              <w:rPr>
                <w:rFonts w:ascii="Arial" w:hAnsi="Arial" w:cs="Arial"/>
                <w:color w:val="000000"/>
                <w:szCs w:val="20"/>
              </w:rPr>
            </w:pPr>
            <w:r w:rsidRPr="00DA7ABC">
              <w:rPr>
                <w:rFonts w:ascii="Arial" w:hAnsi="Arial" w:cs="Arial"/>
                <w:color w:val="000000"/>
                <w:szCs w:val="20"/>
              </w:rPr>
              <w:t>Název programu</w:t>
            </w:r>
          </w:p>
        </w:tc>
        <w:tc>
          <w:tcPr>
            <w:tcW w:w="1559" w:type="dxa"/>
            <w:shd w:val="clear" w:color="auto" w:fill="98C2E5"/>
            <w:vAlign w:val="center"/>
            <w:hideMark/>
          </w:tcPr>
          <w:p w14:paraId="36760A51" w14:textId="77777777" w:rsidR="00580B0C" w:rsidRPr="00DA7ABC" w:rsidRDefault="00580B0C" w:rsidP="00A83F02">
            <w:pPr>
              <w:rPr>
                <w:rFonts w:ascii="Arial" w:hAnsi="Arial" w:cs="Arial"/>
                <w:color w:val="000000"/>
                <w:szCs w:val="20"/>
              </w:rPr>
            </w:pPr>
            <w:r w:rsidRPr="00DA7ABC">
              <w:rPr>
                <w:rFonts w:ascii="Arial" w:hAnsi="Arial" w:cs="Arial"/>
                <w:color w:val="000000"/>
                <w:szCs w:val="20"/>
              </w:rPr>
              <w:t>Aktuální alokace</w:t>
            </w:r>
          </w:p>
        </w:tc>
        <w:tc>
          <w:tcPr>
            <w:tcW w:w="1471" w:type="dxa"/>
            <w:shd w:val="clear" w:color="auto" w:fill="98C2E5"/>
            <w:vAlign w:val="center"/>
            <w:hideMark/>
          </w:tcPr>
          <w:p w14:paraId="6976A628" w14:textId="77777777" w:rsidR="00580B0C" w:rsidRPr="00DA7ABC" w:rsidRDefault="00580B0C" w:rsidP="00A83F02">
            <w:pPr>
              <w:rPr>
                <w:rFonts w:ascii="Arial" w:hAnsi="Arial" w:cs="Arial"/>
                <w:color w:val="000000"/>
                <w:szCs w:val="20"/>
              </w:rPr>
            </w:pPr>
            <w:r w:rsidRPr="00DA7ABC">
              <w:rPr>
                <w:rFonts w:ascii="Arial" w:hAnsi="Arial" w:cs="Arial"/>
                <w:color w:val="000000"/>
                <w:szCs w:val="20"/>
              </w:rPr>
              <w:t>Max. výše dotace</w:t>
            </w:r>
          </w:p>
        </w:tc>
        <w:tc>
          <w:tcPr>
            <w:tcW w:w="1320" w:type="dxa"/>
            <w:shd w:val="clear" w:color="auto" w:fill="98C2E5"/>
            <w:vAlign w:val="center"/>
            <w:hideMark/>
          </w:tcPr>
          <w:p w14:paraId="07D1397B" w14:textId="77777777" w:rsidR="00580B0C" w:rsidRPr="00DA7ABC" w:rsidRDefault="00580B0C" w:rsidP="00A83F02">
            <w:pPr>
              <w:rPr>
                <w:rFonts w:ascii="Arial" w:hAnsi="Arial" w:cs="Arial"/>
                <w:color w:val="000000"/>
                <w:szCs w:val="20"/>
              </w:rPr>
            </w:pPr>
            <w:r w:rsidRPr="00DA7ABC">
              <w:rPr>
                <w:rFonts w:ascii="Arial" w:hAnsi="Arial" w:cs="Arial"/>
                <w:color w:val="000000"/>
                <w:szCs w:val="20"/>
              </w:rPr>
              <w:t>Min. výše dotace</w:t>
            </w:r>
          </w:p>
        </w:tc>
        <w:tc>
          <w:tcPr>
            <w:tcW w:w="1036" w:type="dxa"/>
            <w:shd w:val="clear" w:color="auto" w:fill="98C2E5"/>
            <w:vAlign w:val="center"/>
            <w:hideMark/>
          </w:tcPr>
          <w:p w14:paraId="0096DB36" w14:textId="77777777" w:rsidR="00580B0C" w:rsidRPr="00DA7ABC" w:rsidRDefault="00580B0C" w:rsidP="00A83F02">
            <w:pPr>
              <w:rPr>
                <w:rFonts w:ascii="Arial" w:hAnsi="Arial" w:cs="Arial"/>
                <w:color w:val="000000"/>
                <w:szCs w:val="20"/>
              </w:rPr>
            </w:pPr>
            <w:r w:rsidRPr="00DA7ABC">
              <w:rPr>
                <w:rFonts w:ascii="Arial" w:hAnsi="Arial" w:cs="Arial"/>
                <w:color w:val="000000"/>
                <w:szCs w:val="20"/>
              </w:rPr>
              <w:t>Míra podpory</w:t>
            </w:r>
          </w:p>
        </w:tc>
      </w:tr>
      <w:tr w:rsidR="00580B0C" w:rsidRPr="00DA7ABC" w14:paraId="3F6A22FA" w14:textId="77777777" w:rsidTr="00A83F02">
        <w:trPr>
          <w:trHeight w:val="612"/>
        </w:trPr>
        <w:tc>
          <w:tcPr>
            <w:tcW w:w="1772" w:type="dxa"/>
            <w:noWrap/>
            <w:vAlign w:val="center"/>
            <w:hideMark/>
          </w:tcPr>
          <w:p w14:paraId="408E172A" w14:textId="77777777" w:rsidR="00580B0C" w:rsidRPr="00DA7ABC" w:rsidRDefault="00580B0C" w:rsidP="00A83F02">
            <w:pPr>
              <w:jc w:val="both"/>
              <w:rPr>
                <w:rFonts w:ascii="Arial" w:hAnsi="Arial" w:cs="Arial"/>
                <w:color w:val="000000"/>
                <w:szCs w:val="20"/>
              </w:rPr>
            </w:pPr>
            <w:r w:rsidRPr="00DA7ABC">
              <w:rPr>
                <w:rFonts w:ascii="Arial" w:hAnsi="Arial" w:cs="Arial"/>
                <w:color w:val="000000"/>
                <w:szCs w:val="20"/>
              </w:rPr>
              <w:t>Jihomoravský kraj</w:t>
            </w:r>
          </w:p>
        </w:tc>
        <w:tc>
          <w:tcPr>
            <w:tcW w:w="2051" w:type="dxa"/>
            <w:vAlign w:val="center"/>
            <w:hideMark/>
          </w:tcPr>
          <w:p w14:paraId="261B6DD1" w14:textId="77777777" w:rsidR="00580B0C" w:rsidRPr="00DA7ABC" w:rsidRDefault="00580B0C" w:rsidP="00A83F02">
            <w:pPr>
              <w:rPr>
                <w:rFonts w:ascii="Arial" w:hAnsi="Arial" w:cs="Arial"/>
                <w:color w:val="000000"/>
                <w:szCs w:val="20"/>
              </w:rPr>
            </w:pPr>
            <w:r w:rsidRPr="00DA7ABC">
              <w:rPr>
                <w:rFonts w:ascii="Arial" w:hAnsi="Arial" w:cs="Arial"/>
                <w:color w:val="000000"/>
                <w:szCs w:val="20"/>
              </w:rPr>
              <w:t>Kreativní vouchery Brno</w:t>
            </w:r>
          </w:p>
        </w:tc>
        <w:tc>
          <w:tcPr>
            <w:tcW w:w="1559" w:type="dxa"/>
            <w:noWrap/>
            <w:vAlign w:val="center"/>
            <w:hideMark/>
          </w:tcPr>
          <w:p w14:paraId="0550B050" w14:textId="77777777" w:rsidR="00580B0C" w:rsidRPr="00DA7ABC" w:rsidRDefault="00580B0C" w:rsidP="00A83F02">
            <w:pPr>
              <w:jc w:val="center"/>
              <w:rPr>
                <w:rFonts w:ascii="Arial" w:hAnsi="Arial" w:cs="Arial"/>
                <w:color w:val="000000"/>
                <w:szCs w:val="20"/>
              </w:rPr>
            </w:pPr>
            <w:r w:rsidRPr="00DA7ABC">
              <w:rPr>
                <w:rFonts w:ascii="Arial" w:hAnsi="Arial" w:cs="Arial"/>
                <w:color w:val="000000"/>
                <w:szCs w:val="20"/>
              </w:rPr>
              <w:t>4 500 000</w:t>
            </w:r>
          </w:p>
        </w:tc>
        <w:tc>
          <w:tcPr>
            <w:tcW w:w="1471" w:type="dxa"/>
            <w:noWrap/>
            <w:vAlign w:val="center"/>
            <w:hideMark/>
          </w:tcPr>
          <w:p w14:paraId="0388A82F" w14:textId="77777777" w:rsidR="00580B0C" w:rsidRPr="00DA7ABC" w:rsidRDefault="00580B0C" w:rsidP="00A83F02">
            <w:pPr>
              <w:jc w:val="both"/>
              <w:rPr>
                <w:rFonts w:ascii="Arial" w:hAnsi="Arial" w:cs="Arial"/>
                <w:color w:val="000000"/>
                <w:szCs w:val="20"/>
              </w:rPr>
            </w:pPr>
            <w:r w:rsidRPr="00DA7ABC">
              <w:rPr>
                <w:rFonts w:ascii="Arial" w:hAnsi="Arial" w:cs="Arial"/>
                <w:color w:val="000000"/>
                <w:szCs w:val="20"/>
              </w:rPr>
              <w:t xml:space="preserve">       100 000 </w:t>
            </w:r>
          </w:p>
        </w:tc>
        <w:tc>
          <w:tcPr>
            <w:tcW w:w="1320" w:type="dxa"/>
            <w:noWrap/>
            <w:vAlign w:val="center"/>
            <w:hideMark/>
          </w:tcPr>
          <w:p w14:paraId="2CA8D29D" w14:textId="77777777" w:rsidR="00580B0C" w:rsidRPr="00DA7ABC" w:rsidRDefault="00580B0C" w:rsidP="00A83F02">
            <w:pPr>
              <w:jc w:val="center"/>
              <w:rPr>
                <w:rFonts w:ascii="Arial" w:hAnsi="Arial" w:cs="Arial"/>
                <w:color w:val="000000"/>
                <w:szCs w:val="20"/>
              </w:rPr>
            </w:pPr>
            <w:r w:rsidRPr="00DA7ABC">
              <w:rPr>
                <w:rFonts w:ascii="Arial" w:hAnsi="Arial" w:cs="Arial"/>
                <w:color w:val="000000"/>
                <w:szCs w:val="20"/>
              </w:rPr>
              <w:t>50 000</w:t>
            </w:r>
          </w:p>
        </w:tc>
        <w:tc>
          <w:tcPr>
            <w:tcW w:w="1036" w:type="dxa"/>
            <w:noWrap/>
            <w:vAlign w:val="center"/>
            <w:hideMark/>
          </w:tcPr>
          <w:p w14:paraId="63A4AC12" w14:textId="77777777" w:rsidR="00580B0C" w:rsidRPr="00DA7ABC" w:rsidRDefault="00580B0C" w:rsidP="00A83F02">
            <w:pPr>
              <w:jc w:val="center"/>
              <w:rPr>
                <w:rFonts w:ascii="Arial" w:hAnsi="Arial" w:cs="Arial"/>
                <w:color w:val="000000"/>
                <w:szCs w:val="20"/>
              </w:rPr>
            </w:pPr>
            <w:r w:rsidRPr="00DA7ABC">
              <w:rPr>
                <w:rFonts w:ascii="Arial" w:hAnsi="Arial" w:cs="Arial"/>
                <w:color w:val="000000"/>
                <w:szCs w:val="20"/>
              </w:rPr>
              <w:t>75%</w:t>
            </w:r>
          </w:p>
        </w:tc>
      </w:tr>
      <w:tr w:rsidR="00580B0C" w:rsidRPr="00DA7ABC" w14:paraId="08085229" w14:textId="77777777" w:rsidTr="00A83F02">
        <w:trPr>
          <w:trHeight w:val="612"/>
        </w:trPr>
        <w:tc>
          <w:tcPr>
            <w:tcW w:w="1772" w:type="dxa"/>
            <w:noWrap/>
            <w:vAlign w:val="center"/>
            <w:hideMark/>
          </w:tcPr>
          <w:p w14:paraId="65CCB4FF" w14:textId="77777777" w:rsidR="00580B0C" w:rsidRPr="00DA7ABC" w:rsidRDefault="00580B0C" w:rsidP="00A83F02">
            <w:pPr>
              <w:jc w:val="both"/>
              <w:rPr>
                <w:rFonts w:ascii="Arial" w:hAnsi="Arial" w:cs="Arial"/>
                <w:color w:val="000000"/>
                <w:szCs w:val="20"/>
              </w:rPr>
            </w:pPr>
            <w:r w:rsidRPr="00DA7ABC">
              <w:rPr>
                <w:rFonts w:ascii="Arial" w:hAnsi="Arial" w:cs="Arial"/>
                <w:color w:val="000000"/>
                <w:szCs w:val="20"/>
              </w:rPr>
              <w:t>Královéhradecký kraj</w:t>
            </w:r>
          </w:p>
        </w:tc>
        <w:tc>
          <w:tcPr>
            <w:tcW w:w="2051" w:type="dxa"/>
            <w:vAlign w:val="center"/>
            <w:hideMark/>
          </w:tcPr>
          <w:p w14:paraId="79489537" w14:textId="77777777" w:rsidR="00580B0C" w:rsidRPr="00DA7ABC" w:rsidRDefault="00580B0C" w:rsidP="00A83F02">
            <w:pPr>
              <w:rPr>
                <w:rFonts w:ascii="Arial" w:hAnsi="Arial" w:cs="Arial"/>
                <w:color w:val="000000"/>
                <w:szCs w:val="20"/>
              </w:rPr>
            </w:pPr>
            <w:r w:rsidRPr="00DA7ABC">
              <w:rPr>
                <w:rFonts w:ascii="Arial" w:hAnsi="Arial" w:cs="Arial"/>
                <w:color w:val="000000"/>
                <w:szCs w:val="20"/>
              </w:rPr>
              <w:t>Kreativní vouchery</w:t>
            </w:r>
          </w:p>
        </w:tc>
        <w:tc>
          <w:tcPr>
            <w:tcW w:w="1559" w:type="dxa"/>
            <w:noWrap/>
            <w:vAlign w:val="center"/>
            <w:hideMark/>
          </w:tcPr>
          <w:p w14:paraId="70916579" w14:textId="77777777" w:rsidR="00580B0C" w:rsidRPr="00DA7ABC" w:rsidRDefault="00580B0C" w:rsidP="00A83F02">
            <w:pPr>
              <w:jc w:val="center"/>
              <w:rPr>
                <w:rFonts w:ascii="Arial" w:hAnsi="Arial" w:cs="Arial"/>
                <w:color w:val="000000"/>
                <w:szCs w:val="20"/>
              </w:rPr>
            </w:pPr>
            <w:r w:rsidRPr="00DA7ABC">
              <w:rPr>
                <w:rFonts w:ascii="Arial" w:hAnsi="Arial" w:cs="Arial"/>
                <w:color w:val="000000"/>
                <w:szCs w:val="20"/>
              </w:rPr>
              <w:t>1 000 000</w:t>
            </w:r>
          </w:p>
        </w:tc>
        <w:tc>
          <w:tcPr>
            <w:tcW w:w="1471" w:type="dxa"/>
            <w:noWrap/>
            <w:vAlign w:val="center"/>
            <w:hideMark/>
          </w:tcPr>
          <w:p w14:paraId="14EED4F6" w14:textId="77777777" w:rsidR="00580B0C" w:rsidRPr="00DA7ABC" w:rsidRDefault="00580B0C" w:rsidP="00A83F02">
            <w:pPr>
              <w:jc w:val="both"/>
              <w:rPr>
                <w:rFonts w:ascii="Arial" w:hAnsi="Arial" w:cs="Arial"/>
                <w:color w:val="000000"/>
                <w:szCs w:val="20"/>
              </w:rPr>
            </w:pPr>
            <w:r w:rsidRPr="00DA7ABC">
              <w:rPr>
                <w:rFonts w:ascii="Arial" w:hAnsi="Arial" w:cs="Arial"/>
                <w:color w:val="000000"/>
                <w:szCs w:val="20"/>
              </w:rPr>
              <w:t xml:space="preserve">       100 000 </w:t>
            </w:r>
          </w:p>
        </w:tc>
        <w:tc>
          <w:tcPr>
            <w:tcW w:w="1320" w:type="dxa"/>
            <w:noWrap/>
            <w:vAlign w:val="center"/>
            <w:hideMark/>
          </w:tcPr>
          <w:p w14:paraId="296C9A8A" w14:textId="77777777" w:rsidR="00580B0C" w:rsidRPr="00DA7ABC" w:rsidRDefault="00580B0C" w:rsidP="00A83F02">
            <w:pPr>
              <w:jc w:val="center"/>
              <w:rPr>
                <w:rFonts w:ascii="Arial" w:hAnsi="Arial" w:cs="Arial"/>
                <w:color w:val="000000"/>
                <w:szCs w:val="20"/>
              </w:rPr>
            </w:pPr>
            <w:r w:rsidRPr="00DA7ABC">
              <w:rPr>
                <w:rFonts w:ascii="Arial" w:hAnsi="Arial" w:cs="Arial"/>
                <w:color w:val="000000"/>
                <w:szCs w:val="20"/>
              </w:rPr>
              <w:t>50 000</w:t>
            </w:r>
          </w:p>
        </w:tc>
        <w:tc>
          <w:tcPr>
            <w:tcW w:w="1036" w:type="dxa"/>
            <w:noWrap/>
            <w:vAlign w:val="center"/>
            <w:hideMark/>
          </w:tcPr>
          <w:p w14:paraId="46716A50" w14:textId="77777777" w:rsidR="00580B0C" w:rsidRPr="00DA7ABC" w:rsidRDefault="00580B0C" w:rsidP="00A83F02">
            <w:pPr>
              <w:jc w:val="center"/>
              <w:rPr>
                <w:rFonts w:ascii="Arial" w:hAnsi="Arial" w:cs="Arial"/>
                <w:color w:val="000000"/>
                <w:szCs w:val="20"/>
              </w:rPr>
            </w:pPr>
            <w:r w:rsidRPr="00DA7ABC">
              <w:rPr>
                <w:rFonts w:ascii="Arial" w:hAnsi="Arial" w:cs="Arial"/>
                <w:color w:val="000000"/>
                <w:szCs w:val="20"/>
              </w:rPr>
              <w:t>80%</w:t>
            </w:r>
          </w:p>
        </w:tc>
      </w:tr>
      <w:tr w:rsidR="00580B0C" w:rsidRPr="00DA7ABC" w14:paraId="1355400A" w14:textId="77777777" w:rsidTr="00A83F02">
        <w:trPr>
          <w:trHeight w:val="612"/>
        </w:trPr>
        <w:tc>
          <w:tcPr>
            <w:tcW w:w="1772" w:type="dxa"/>
            <w:noWrap/>
            <w:vAlign w:val="center"/>
            <w:hideMark/>
          </w:tcPr>
          <w:p w14:paraId="4244B33B" w14:textId="77777777" w:rsidR="00580B0C" w:rsidRPr="00DA7ABC" w:rsidRDefault="00580B0C" w:rsidP="00A83F02">
            <w:pPr>
              <w:jc w:val="both"/>
              <w:rPr>
                <w:rFonts w:ascii="Arial" w:hAnsi="Arial" w:cs="Arial"/>
                <w:color w:val="000000"/>
                <w:szCs w:val="20"/>
              </w:rPr>
            </w:pPr>
            <w:r w:rsidRPr="00DA7ABC">
              <w:rPr>
                <w:rFonts w:ascii="Arial" w:hAnsi="Arial" w:cs="Arial"/>
                <w:color w:val="000000"/>
                <w:szCs w:val="20"/>
              </w:rPr>
              <w:t>Praha</w:t>
            </w:r>
          </w:p>
        </w:tc>
        <w:tc>
          <w:tcPr>
            <w:tcW w:w="2051" w:type="dxa"/>
            <w:vAlign w:val="center"/>
            <w:hideMark/>
          </w:tcPr>
          <w:p w14:paraId="609CAB15" w14:textId="77777777" w:rsidR="00580B0C" w:rsidRPr="00DA7ABC" w:rsidRDefault="00580B0C" w:rsidP="00A83F02">
            <w:pPr>
              <w:rPr>
                <w:rFonts w:ascii="Arial" w:hAnsi="Arial" w:cs="Arial"/>
                <w:color w:val="000000"/>
                <w:szCs w:val="20"/>
              </w:rPr>
            </w:pPr>
            <w:r w:rsidRPr="00DA7ABC">
              <w:rPr>
                <w:rFonts w:ascii="Arial" w:hAnsi="Arial" w:cs="Arial"/>
                <w:color w:val="000000"/>
                <w:szCs w:val="20"/>
              </w:rPr>
              <w:t>Pražský voucher</w:t>
            </w:r>
          </w:p>
        </w:tc>
        <w:tc>
          <w:tcPr>
            <w:tcW w:w="1559" w:type="dxa"/>
            <w:noWrap/>
            <w:vAlign w:val="center"/>
            <w:hideMark/>
          </w:tcPr>
          <w:p w14:paraId="755C3DDC" w14:textId="77777777" w:rsidR="00580B0C" w:rsidRPr="00DA7ABC" w:rsidRDefault="00580B0C" w:rsidP="00A83F02">
            <w:pPr>
              <w:jc w:val="both"/>
              <w:rPr>
                <w:rFonts w:ascii="Arial" w:hAnsi="Arial" w:cs="Arial"/>
                <w:color w:val="000000"/>
                <w:szCs w:val="20"/>
              </w:rPr>
            </w:pPr>
            <w:r w:rsidRPr="00DA7ABC">
              <w:rPr>
                <w:rFonts w:ascii="Arial" w:hAnsi="Arial" w:cs="Arial"/>
                <w:color w:val="000000"/>
                <w:szCs w:val="20"/>
              </w:rPr>
              <w:t xml:space="preserve">     80 000 000 </w:t>
            </w:r>
          </w:p>
        </w:tc>
        <w:tc>
          <w:tcPr>
            <w:tcW w:w="1471" w:type="dxa"/>
            <w:noWrap/>
            <w:vAlign w:val="center"/>
            <w:hideMark/>
          </w:tcPr>
          <w:p w14:paraId="6EBE1D13" w14:textId="77777777" w:rsidR="00580B0C" w:rsidRPr="00DA7ABC" w:rsidRDefault="00580B0C" w:rsidP="00A83F02">
            <w:pPr>
              <w:jc w:val="both"/>
              <w:rPr>
                <w:rFonts w:ascii="Arial" w:hAnsi="Arial" w:cs="Arial"/>
                <w:color w:val="000000"/>
                <w:szCs w:val="20"/>
              </w:rPr>
            </w:pPr>
            <w:r w:rsidRPr="00DA7ABC">
              <w:rPr>
                <w:rFonts w:ascii="Arial" w:hAnsi="Arial" w:cs="Arial"/>
                <w:color w:val="000000"/>
                <w:szCs w:val="20"/>
              </w:rPr>
              <w:t xml:space="preserve">       500 000 </w:t>
            </w:r>
          </w:p>
        </w:tc>
        <w:tc>
          <w:tcPr>
            <w:tcW w:w="1320" w:type="dxa"/>
            <w:noWrap/>
            <w:vAlign w:val="center"/>
            <w:hideMark/>
          </w:tcPr>
          <w:p w14:paraId="0E6E615C" w14:textId="77777777" w:rsidR="00580B0C" w:rsidRPr="00DA7ABC" w:rsidRDefault="00580B0C" w:rsidP="00A83F02">
            <w:pPr>
              <w:jc w:val="center"/>
              <w:rPr>
                <w:rFonts w:ascii="Arial" w:hAnsi="Arial" w:cs="Arial"/>
                <w:color w:val="000000"/>
                <w:szCs w:val="20"/>
              </w:rPr>
            </w:pPr>
            <w:r w:rsidRPr="00DA7ABC">
              <w:rPr>
                <w:rFonts w:ascii="Arial" w:hAnsi="Arial" w:cs="Arial"/>
                <w:color w:val="000000"/>
                <w:szCs w:val="20"/>
              </w:rPr>
              <w:t>100 000</w:t>
            </w:r>
          </w:p>
        </w:tc>
        <w:tc>
          <w:tcPr>
            <w:tcW w:w="1036" w:type="dxa"/>
            <w:noWrap/>
            <w:vAlign w:val="center"/>
            <w:hideMark/>
          </w:tcPr>
          <w:p w14:paraId="3B99B8D9" w14:textId="77777777" w:rsidR="00580B0C" w:rsidRPr="00DA7ABC" w:rsidRDefault="00580B0C" w:rsidP="00A83F02">
            <w:pPr>
              <w:jc w:val="center"/>
              <w:rPr>
                <w:rFonts w:ascii="Arial" w:hAnsi="Arial" w:cs="Arial"/>
                <w:color w:val="000000"/>
                <w:szCs w:val="20"/>
              </w:rPr>
            </w:pPr>
            <w:r w:rsidRPr="00DA7ABC">
              <w:rPr>
                <w:rFonts w:ascii="Arial" w:hAnsi="Arial" w:cs="Arial"/>
                <w:color w:val="000000"/>
                <w:szCs w:val="20"/>
              </w:rPr>
              <w:t>85%</w:t>
            </w:r>
          </w:p>
        </w:tc>
      </w:tr>
      <w:tr w:rsidR="00580B0C" w:rsidRPr="00DA7ABC" w14:paraId="47C07D1B" w14:textId="77777777" w:rsidTr="00A83F02">
        <w:trPr>
          <w:trHeight w:val="612"/>
        </w:trPr>
        <w:tc>
          <w:tcPr>
            <w:tcW w:w="1772" w:type="dxa"/>
            <w:noWrap/>
            <w:vAlign w:val="center"/>
            <w:hideMark/>
          </w:tcPr>
          <w:p w14:paraId="488685FE" w14:textId="77777777" w:rsidR="00580B0C" w:rsidRPr="00DA7ABC" w:rsidRDefault="00580B0C" w:rsidP="00A83F02">
            <w:pPr>
              <w:jc w:val="both"/>
              <w:rPr>
                <w:rFonts w:ascii="Arial" w:hAnsi="Arial" w:cs="Arial"/>
                <w:color w:val="000000"/>
                <w:szCs w:val="20"/>
              </w:rPr>
            </w:pPr>
            <w:r w:rsidRPr="00DA7ABC">
              <w:rPr>
                <w:rFonts w:ascii="Arial" w:hAnsi="Arial" w:cs="Arial"/>
                <w:color w:val="000000"/>
                <w:szCs w:val="20"/>
              </w:rPr>
              <w:t>Středočeský kraj</w:t>
            </w:r>
          </w:p>
        </w:tc>
        <w:tc>
          <w:tcPr>
            <w:tcW w:w="2051" w:type="dxa"/>
            <w:vAlign w:val="center"/>
            <w:hideMark/>
          </w:tcPr>
          <w:p w14:paraId="6BCF2A40" w14:textId="77777777" w:rsidR="00580B0C" w:rsidRPr="00DA7ABC" w:rsidRDefault="00580B0C" w:rsidP="00A83F02">
            <w:pPr>
              <w:rPr>
                <w:rFonts w:ascii="Arial" w:hAnsi="Arial" w:cs="Arial"/>
                <w:color w:val="000000"/>
                <w:szCs w:val="20"/>
              </w:rPr>
            </w:pPr>
            <w:r w:rsidRPr="00DA7ABC">
              <w:rPr>
                <w:rFonts w:ascii="Arial" w:hAnsi="Arial" w:cs="Arial"/>
                <w:color w:val="000000"/>
                <w:szCs w:val="20"/>
              </w:rPr>
              <w:t>Kreativní vouchery Středočeského kraje</w:t>
            </w:r>
          </w:p>
        </w:tc>
        <w:tc>
          <w:tcPr>
            <w:tcW w:w="1559" w:type="dxa"/>
            <w:noWrap/>
            <w:vAlign w:val="center"/>
            <w:hideMark/>
          </w:tcPr>
          <w:p w14:paraId="0594D64F" w14:textId="77777777" w:rsidR="00580B0C" w:rsidRPr="00DA7ABC" w:rsidRDefault="00580B0C" w:rsidP="00A83F02">
            <w:pPr>
              <w:jc w:val="center"/>
              <w:rPr>
                <w:rFonts w:ascii="Arial" w:hAnsi="Arial" w:cs="Arial"/>
                <w:color w:val="000000"/>
                <w:szCs w:val="20"/>
              </w:rPr>
            </w:pPr>
            <w:r w:rsidRPr="00DA7ABC">
              <w:rPr>
                <w:rFonts w:ascii="Arial" w:hAnsi="Arial" w:cs="Arial"/>
                <w:color w:val="000000"/>
                <w:szCs w:val="20"/>
              </w:rPr>
              <w:t>5 000 000</w:t>
            </w:r>
          </w:p>
        </w:tc>
        <w:tc>
          <w:tcPr>
            <w:tcW w:w="1471" w:type="dxa"/>
            <w:noWrap/>
            <w:vAlign w:val="center"/>
            <w:hideMark/>
          </w:tcPr>
          <w:p w14:paraId="39EE4E52" w14:textId="77777777" w:rsidR="00580B0C" w:rsidRPr="00DA7ABC" w:rsidRDefault="00580B0C" w:rsidP="00A83F02">
            <w:pPr>
              <w:jc w:val="center"/>
              <w:rPr>
                <w:rFonts w:ascii="Arial" w:hAnsi="Arial" w:cs="Arial"/>
                <w:color w:val="000000"/>
                <w:szCs w:val="20"/>
              </w:rPr>
            </w:pPr>
            <w:r w:rsidRPr="00DA7ABC">
              <w:rPr>
                <w:rFonts w:ascii="Arial" w:hAnsi="Arial" w:cs="Arial"/>
                <w:color w:val="000000"/>
                <w:szCs w:val="20"/>
              </w:rPr>
              <w:t>200 000</w:t>
            </w:r>
          </w:p>
        </w:tc>
        <w:tc>
          <w:tcPr>
            <w:tcW w:w="1320" w:type="dxa"/>
            <w:noWrap/>
            <w:vAlign w:val="center"/>
            <w:hideMark/>
          </w:tcPr>
          <w:p w14:paraId="063F6D6B" w14:textId="77777777" w:rsidR="00580B0C" w:rsidRPr="00DA7ABC" w:rsidRDefault="00580B0C" w:rsidP="00A83F02">
            <w:pPr>
              <w:jc w:val="center"/>
              <w:rPr>
                <w:rFonts w:ascii="Arial" w:hAnsi="Arial" w:cs="Arial"/>
                <w:color w:val="000000"/>
                <w:szCs w:val="20"/>
              </w:rPr>
            </w:pPr>
            <w:r w:rsidRPr="00DA7ABC">
              <w:rPr>
                <w:rFonts w:ascii="Arial" w:hAnsi="Arial" w:cs="Arial"/>
                <w:color w:val="000000"/>
                <w:szCs w:val="20"/>
              </w:rPr>
              <w:t>50 000</w:t>
            </w:r>
          </w:p>
        </w:tc>
        <w:tc>
          <w:tcPr>
            <w:tcW w:w="1036" w:type="dxa"/>
            <w:noWrap/>
            <w:vAlign w:val="center"/>
            <w:hideMark/>
          </w:tcPr>
          <w:p w14:paraId="4A555C3D" w14:textId="77777777" w:rsidR="00580B0C" w:rsidRPr="00DA7ABC" w:rsidRDefault="00580B0C" w:rsidP="00A83F02">
            <w:pPr>
              <w:jc w:val="center"/>
              <w:rPr>
                <w:rFonts w:ascii="Arial" w:hAnsi="Arial" w:cs="Arial"/>
                <w:color w:val="000000"/>
                <w:szCs w:val="20"/>
              </w:rPr>
            </w:pPr>
            <w:r w:rsidRPr="00DA7ABC">
              <w:rPr>
                <w:rFonts w:ascii="Arial" w:hAnsi="Arial" w:cs="Arial"/>
                <w:color w:val="000000"/>
                <w:szCs w:val="20"/>
              </w:rPr>
              <w:t>85%</w:t>
            </w:r>
          </w:p>
        </w:tc>
      </w:tr>
      <w:tr w:rsidR="00580B0C" w:rsidRPr="00DA7ABC" w14:paraId="620EFEAB" w14:textId="77777777" w:rsidTr="00A83F02">
        <w:trPr>
          <w:trHeight w:val="612"/>
        </w:trPr>
        <w:tc>
          <w:tcPr>
            <w:tcW w:w="1772" w:type="dxa"/>
            <w:noWrap/>
            <w:vAlign w:val="center"/>
            <w:hideMark/>
          </w:tcPr>
          <w:p w14:paraId="3E8C52B2" w14:textId="77777777" w:rsidR="00580B0C" w:rsidRPr="00DA7ABC" w:rsidRDefault="00580B0C" w:rsidP="00A83F02">
            <w:pPr>
              <w:jc w:val="both"/>
              <w:rPr>
                <w:rFonts w:ascii="Arial" w:hAnsi="Arial" w:cs="Arial"/>
                <w:color w:val="000000"/>
                <w:szCs w:val="20"/>
              </w:rPr>
            </w:pPr>
            <w:r w:rsidRPr="00DA7ABC">
              <w:rPr>
                <w:rFonts w:ascii="Arial" w:hAnsi="Arial" w:cs="Arial"/>
                <w:color w:val="000000"/>
                <w:szCs w:val="20"/>
              </w:rPr>
              <w:t>Karlovarský kraj</w:t>
            </w:r>
          </w:p>
        </w:tc>
        <w:tc>
          <w:tcPr>
            <w:tcW w:w="2051" w:type="dxa"/>
            <w:vAlign w:val="center"/>
            <w:hideMark/>
          </w:tcPr>
          <w:p w14:paraId="284D40FF" w14:textId="77777777" w:rsidR="00580B0C" w:rsidRPr="00DA7ABC" w:rsidRDefault="00580B0C" w:rsidP="00A83F02">
            <w:pPr>
              <w:rPr>
                <w:rFonts w:ascii="Arial" w:hAnsi="Arial" w:cs="Arial"/>
                <w:color w:val="000000"/>
                <w:szCs w:val="20"/>
              </w:rPr>
            </w:pPr>
            <w:r w:rsidRPr="00DA7ABC">
              <w:rPr>
                <w:rFonts w:ascii="Arial" w:hAnsi="Arial" w:cs="Arial"/>
                <w:color w:val="000000"/>
                <w:szCs w:val="20"/>
              </w:rPr>
              <w:t>Kreativní vouchery</w:t>
            </w:r>
          </w:p>
        </w:tc>
        <w:tc>
          <w:tcPr>
            <w:tcW w:w="1559" w:type="dxa"/>
            <w:noWrap/>
            <w:vAlign w:val="center"/>
            <w:hideMark/>
          </w:tcPr>
          <w:p w14:paraId="36C3314E" w14:textId="77777777" w:rsidR="00580B0C" w:rsidRPr="00DA7ABC" w:rsidRDefault="00580B0C" w:rsidP="00A83F02">
            <w:pPr>
              <w:jc w:val="center"/>
              <w:rPr>
                <w:rFonts w:ascii="Arial" w:hAnsi="Arial" w:cs="Arial"/>
                <w:color w:val="000000"/>
                <w:szCs w:val="20"/>
              </w:rPr>
            </w:pPr>
            <w:r w:rsidRPr="00DA7ABC">
              <w:rPr>
                <w:rFonts w:ascii="Arial" w:hAnsi="Arial" w:cs="Arial"/>
                <w:color w:val="000000"/>
                <w:szCs w:val="20"/>
              </w:rPr>
              <w:t>2 000 000</w:t>
            </w:r>
          </w:p>
        </w:tc>
        <w:tc>
          <w:tcPr>
            <w:tcW w:w="1471" w:type="dxa"/>
            <w:noWrap/>
            <w:vAlign w:val="center"/>
            <w:hideMark/>
          </w:tcPr>
          <w:p w14:paraId="79475FCA" w14:textId="77777777" w:rsidR="00580B0C" w:rsidRPr="00DA7ABC" w:rsidRDefault="00580B0C" w:rsidP="00A83F02">
            <w:pPr>
              <w:jc w:val="center"/>
              <w:rPr>
                <w:rFonts w:ascii="Arial" w:hAnsi="Arial" w:cs="Arial"/>
                <w:color w:val="000000"/>
                <w:szCs w:val="20"/>
              </w:rPr>
            </w:pPr>
            <w:r w:rsidRPr="00DA7ABC">
              <w:rPr>
                <w:rFonts w:ascii="Arial" w:hAnsi="Arial" w:cs="Arial"/>
                <w:color w:val="000000"/>
                <w:szCs w:val="20"/>
              </w:rPr>
              <w:t>100 000</w:t>
            </w:r>
          </w:p>
        </w:tc>
        <w:tc>
          <w:tcPr>
            <w:tcW w:w="1320" w:type="dxa"/>
            <w:noWrap/>
            <w:vAlign w:val="center"/>
            <w:hideMark/>
          </w:tcPr>
          <w:p w14:paraId="4232BC26" w14:textId="77777777" w:rsidR="00580B0C" w:rsidRPr="00DA7ABC" w:rsidRDefault="00580B0C" w:rsidP="00A83F02">
            <w:pPr>
              <w:jc w:val="center"/>
              <w:rPr>
                <w:rFonts w:ascii="Arial" w:hAnsi="Arial" w:cs="Arial"/>
                <w:color w:val="000000"/>
                <w:szCs w:val="20"/>
              </w:rPr>
            </w:pPr>
            <w:r w:rsidRPr="00DA7ABC">
              <w:rPr>
                <w:rFonts w:ascii="Arial" w:hAnsi="Arial" w:cs="Arial"/>
                <w:color w:val="000000"/>
                <w:szCs w:val="20"/>
              </w:rPr>
              <w:t>10 000</w:t>
            </w:r>
          </w:p>
        </w:tc>
        <w:tc>
          <w:tcPr>
            <w:tcW w:w="1036" w:type="dxa"/>
            <w:noWrap/>
            <w:vAlign w:val="center"/>
            <w:hideMark/>
          </w:tcPr>
          <w:p w14:paraId="2F68C9B5" w14:textId="77777777" w:rsidR="00580B0C" w:rsidRPr="00DA7ABC" w:rsidRDefault="00580B0C" w:rsidP="00A83F02">
            <w:pPr>
              <w:jc w:val="center"/>
              <w:rPr>
                <w:rFonts w:ascii="Arial" w:hAnsi="Arial" w:cs="Arial"/>
                <w:color w:val="000000"/>
                <w:szCs w:val="20"/>
              </w:rPr>
            </w:pPr>
            <w:r w:rsidRPr="00DA7ABC">
              <w:rPr>
                <w:rFonts w:ascii="Arial" w:hAnsi="Arial" w:cs="Arial"/>
                <w:color w:val="000000"/>
                <w:szCs w:val="20"/>
              </w:rPr>
              <w:t>80%</w:t>
            </w:r>
          </w:p>
        </w:tc>
      </w:tr>
      <w:tr w:rsidR="00580B0C" w:rsidRPr="00DA7ABC" w14:paraId="5E9A2777" w14:textId="77777777" w:rsidTr="00A83F02">
        <w:trPr>
          <w:trHeight w:val="1041"/>
        </w:trPr>
        <w:tc>
          <w:tcPr>
            <w:tcW w:w="1772" w:type="dxa"/>
            <w:noWrap/>
            <w:vAlign w:val="center"/>
          </w:tcPr>
          <w:p w14:paraId="744CBEC2" w14:textId="77777777" w:rsidR="00580B0C" w:rsidRPr="00DA7ABC" w:rsidRDefault="00580B0C" w:rsidP="00A83F02">
            <w:pPr>
              <w:jc w:val="both"/>
              <w:rPr>
                <w:rFonts w:ascii="Arial" w:hAnsi="Arial" w:cs="Arial"/>
                <w:color w:val="000000"/>
                <w:szCs w:val="20"/>
              </w:rPr>
            </w:pPr>
            <w:r w:rsidRPr="00DA7ABC">
              <w:rPr>
                <w:rFonts w:ascii="Arial" w:hAnsi="Arial" w:cs="Arial"/>
                <w:color w:val="000000"/>
                <w:szCs w:val="20"/>
              </w:rPr>
              <w:t>Zlínský kraj</w:t>
            </w:r>
          </w:p>
        </w:tc>
        <w:tc>
          <w:tcPr>
            <w:tcW w:w="2051" w:type="dxa"/>
            <w:vAlign w:val="center"/>
          </w:tcPr>
          <w:p w14:paraId="3F3F141C" w14:textId="77777777" w:rsidR="00580B0C" w:rsidRPr="00DA7ABC" w:rsidRDefault="00580B0C" w:rsidP="00A83F02">
            <w:pPr>
              <w:rPr>
                <w:rFonts w:ascii="Arial" w:hAnsi="Arial" w:cs="Arial"/>
                <w:color w:val="000000"/>
                <w:szCs w:val="20"/>
              </w:rPr>
            </w:pPr>
            <w:r w:rsidRPr="00DA7ABC">
              <w:rPr>
                <w:rFonts w:ascii="Arial" w:hAnsi="Arial" w:cs="Arial"/>
                <w:color w:val="000000"/>
                <w:szCs w:val="20"/>
              </w:rPr>
              <w:t>Inovační vouchery Zlínského kraje (produktový design a marketing)</w:t>
            </w:r>
          </w:p>
        </w:tc>
        <w:tc>
          <w:tcPr>
            <w:tcW w:w="1559" w:type="dxa"/>
            <w:noWrap/>
            <w:vAlign w:val="center"/>
          </w:tcPr>
          <w:p w14:paraId="71F344EB" w14:textId="77777777" w:rsidR="00580B0C" w:rsidRPr="00DA7ABC" w:rsidRDefault="00580B0C" w:rsidP="00A83F02">
            <w:pPr>
              <w:jc w:val="center"/>
              <w:rPr>
                <w:rFonts w:ascii="Arial" w:hAnsi="Arial" w:cs="Arial"/>
                <w:color w:val="000000"/>
                <w:szCs w:val="20"/>
              </w:rPr>
            </w:pPr>
            <w:r w:rsidRPr="00DA7ABC">
              <w:rPr>
                <w:rFonts w:ascii="Arial" w:hAnsi="Arial" w:cs="Arial"/>
                <w:color w:val="000000"/>
                <w:szCs w:val="20"/>
              </w:rPr>
              <w:t>2 000 000</w:t>
            </w:r>
          </w:p>
        </w:tc>
        <w:tc>
          <w:tcPr>
            <w:tcW w:w="1471" w:type="dxa"/>
            <w:noWrap/>
            <w:vAlign w:val="center"/>
          </w:tcPr>
          <w:p w14:paraId="1CA7E7E8" w14:textId="77777777" w:rsidR="00580B0C" w:rsidRPr="00DA7ABC" w:rsidRDefault="00580B0C" w:rsidP="00A83F02">
            <w:pPr>
              <w:jc w:val="center"/>
              <w:rPr>
                <w:rFonts w:ascii="Arial" w:hAnsi="Arial" w:cs="Arial"/>
                <w:color w:val="000000"/>
                <w:szCs w:val="20"/>
              </w:rPr>
            </w:pPr>
            <w:r w:rsidRPr="00DA7ABC">
              <w:rPr>
                <w:rFonts w:ascii="Arial" w:hAnsi="Arial" w:cs="Arial"/>
                <w:color w:val="000000"/>
                <w:szCs w:val="20"/>
              </w:rPr>
              <w:t>140 000</w:t>
            </w:r>
          </w:p>
        </w:tc>
        <w:tc>
          <w:tcPr>
            <w:tcW w:w="1320" w:type="dxa"/>
            <w:noWrap/>
            <w:vAlign w:val="center"/>
          </w:tcPr>
          <w:p w14:paraId="70785E8F" w14:textId="77777777" w:rsidR="00580B0C" w:rsidRPr="00DA7ABC" w:rsidRDefault="00580B0C" w:rsidP="00A83F02">
            <w:pPr>
              <w:jc w:val="center"/>
              <w:rPr>
                <w:rFonts w:ascii="Arial" w:hAnsi="Arial" w:cs="Arial"/>
                <w:color w:val="000000"/>
                <w:szCs w:val="20"/>
              </w:rPr>
            </w:pPr>
            <w:r w:rsidRPr="00DA7ABC">
              <w:rPr>
                <w:rFonts w:ascii="Arial" w:hAnsi="Arial" w:cs="Arial"/>
                <w:color w:val="000000"/>
                <w:szCs w:val="20"/>
              </w:rPr>
              <w:t>50 000</w:t>
            </w:r>
          </w:p>
        </w:tc>
        <w:tc>
          <w:tcPr>
            <w:tcW w:w="1036" w:type="dxa"/>
            <w:noWrap/>
            <w:vAlign w:val="center"/>
          </w:tcPr>
          <w:p w14:paraId="54D08564" w14:textId="77777777" w:rsidR="00580B0C" w:rsidRPr="00DA7ABC" w:rsidRDefault="00580B0C" w:rsidP="00A83F02">
            <w:pPr>
              <w:jc w:val="center"/>
              <w:rPr>
                <w:rFonts w:ascii="Arial" w:hAnsi="Arial" w:cs="Arial"/>
                <w:color w:val="000000"/>
                <w:szCs w:val="20"/>
              </w:rPr>
            </w:pPr>
            <w:r w:rsidRPr="00DA7ABC">
              <w:rPr>
                <w:rFonts w:ascii="Arial" w:hAnsi="Arial" w:cs="Arial"/>
                <w:color w:val="000000"/>
                <w:szCs w:val="20"/>
              </w:rPr>
              <w:t>70%</w:t>
            </w:r>
          </w:p>
        </w:tc>
      </w:tr>
    </w:tbl>
    <w:p w14:paraId="5AE8EDC6" w14:textId="77777777" w:rsidR="00580B0C" w:rsidRPr="00DA7ABC" w:rsidRDefault="00580B0C" w:rsidP="007B1383">
      <w:pPr>
        <w:spacing w:after="120"/>
        <w:jc w:val="both"/>
        <w:rPr>
          <w:rFonts w:ascii="Arial" w:hAnsi="Arial" w:cs="Arial"/>
          <w:iCs/>
          <w:szCs w:val="20"/>
        </w:rPr>
      </w:pPr>
    </w:p>
    <w:p w14:paraId="34F6B433" w14:textId="77777777" w:rsidR="00580B0C" w:rsidRPr="00DA7ABC" w:rsidRDefault="00580B0C" w:rsidP="007B1383">
      <w:pPr>
        <w:spacing w:after="120"/>
        <w:jc w:val="both"/>
        <w:rPr>
          <w:rFonts w:ascii="Arial" w:hAnsi="Arial" w:cs="Arial"/>
          <w:iCs/>
          <w:szCs w:val="20"/>
        </w:rPr>
      </w:pPr>
      <w:r w:rsidRPr="00DA7ABC">
        <w:rPr>
          <w:rFonts w:ascii="Arial" w:hAnsi="Arial" w:cs="Arial"/>
          <w:iCs/>
          <w:szCs w:val="20"/>
        </w:rPr>
        <w:t xml:space="preserve">Výstupem společného jednání je předložený návrh konceptu Kreativních voucherů v rámci programu Jihočeské podnikatelské vouchery, který v tomto prvním ročníku bude realizován jako pilotní projekt </w:t>
      </w:r>
      <w:r>
        <w:rPr>
          <w:rFonts w:ascii="Arial" w:hAnsi="Arial" w:cs="Arial"/>
          <w:iCs/>
          <w:szCs w:val="20"/>
        </w:rPr>
        <w:br/>
      </w:r>
      <w:r w:rsidRPr="00DA7ABC">
        <w:rPr>
          <w:rFonts w:ascii="Arial" w:hAnsi="Arial" w:cs="Arial"/>
          <w:iCs/>
          <w:szCs w:val="20"/>
        </w:rPr>
        <w:t>a zkušenosti z tohoto ročníku budou využity v dalších letech.</w:t>
      </w:r>
    </w:p>
    <w:p w14:paraId="776BD83F" w14:textId="77777777" w:rsidR="00580B0C" w:rsidRDefault="00580B0C" w:rsidP="007B1383">
      <w:pPr>
        <w:pStyle w:val="Normlnweb"/>
        <w:shd w:val="clear" w:color="auto" w:fill="FFFFFF"/>
        <w:spacing w:before="0" w:beforeAutospacing="0" w:after="0" w:afterAutospacing="0" w:line="259" w:lineRule="auto"/>
        <w:jc w:val="both"/>
        <w:rPr>
          <w:rFonts w:ascii="Arial" w:eastAsia="Calibri" w:hAnsi="Arial" w:cs="Arial"/>
          <w:iCs/>
          <w:sz w:val="20"/>
          <w:szCs w:val="20"/>
          <w:lang w:eastAsia="en-US"/>
        </w:rPr>
      </w:pPr>
      <w:r w:rsidRPr="00DA7ABC">
        <w:rPr>
          <w:rFonts w:ascii="Arial" w:eastAsia="Calibri" w:hAnsi="Arial" w:cs="Arial"/>
          <w:iCs/>
          <w:sz w:val="20"/>
          <w:szCs w:val="20"/>
          <w:lang w:eastAsia="en-US"/>
        </w:rPr>
        <w:t xml:space="preserve">Kreativní vouchery se ukazují jako vysoce funkční nástroj, který je přínosným řešením nejen pro firmy </w:t>
      </w:r>
      <w:r>
        <w:rPr>
          <w:rFonts w:ascii="Arial" w:eastAsia="Calibri" w:hAnsi="Arial" w:cs="Arial"/>
          <w:iCs/>
          <w:sz w:val="20"/>
          <w:szCs w:val="20"/>
          <w:lang w:eastAsia="en-US"/>
        </w:rPr>
        <w:br/>
      </w:r>
      <w:r w:rsidRPr="00DA7ABC">
        <w:rPr>
          <w:rFonts w:ascii="Arial" w:eastAsia="Calibri" w:hAnsi="Arial" w:cs="Arial"/>
          <w:iCs/>
          <w:sz w:val="20"/>
          <w:szCs w:val="20"/>
          <w:lang w:eastAsia="en-US"/>
        </w:rPr>
        <w:t>a kreativce, ale také pro daný region. Firmám může dotace pomoci zlepšit image na trhu, kreativcům přin</w:t>
      </w:r>
      <w:r>
        <w:rPr>
          <w:rFonts w:ascii="Arial" w:eastAsia="Calibri" w:hAnsi="Arial" w:cs="Arial"/>
          <w:iCs/>
          <w:sz w:val="20"/>
          <w:szCs w:val="20"/>
          <w:lang w:eastAsia="en-US"/>
        </w:rPr>
        <w:t xml:space="preserve">áší nové zakázky a spolupráce, </w:t>
      </w:r>
      <w:r w:rsidRPr="00DA7ABC">
        <w:rPr>
          <w:rFonts w:ascii="Arial" w:eastAsia="Calibri" w:hAnsi="Arial" w:cs="Arial"/>
          <w:iCs/>
          <w:sz w:val="20"/>
          <w:szCs w:val="20"/>
          <w:lang w:eastAsia="en-US"/>
        </w:rPr>
        <w:t>městům a regionům větší k</w:t>
      </w:r>
      <w:r>
        <w:rPr>
          <w:rFonts w:ascii="Arial" w:eastAsia="Calibri" w:hAnsi="Arial" w:cs="Arial"/>
          <w:iCs/>
          <w:sz w:val="20"/>
          <w:szCs w:val="20"/>
          <w:lang w:eastAsia="en-US"/>
        </w:rPr>
        <w:t xml:space="preserve">onkurenceschopnost. V současné </w:t>
      </w:r>
      <w:r w:rsidRPr="00DA7ABC">
        <w:rPr>
          <w:rFonts w:ascii="Arial" w:eastAsia="Calibri" w:hAnsi="Arial" w:cs="Arial"/>
          <w:iCs/>
          <w:sz w:val="20"/>
          <w:szCs w:val="20"/>
          <w:lang w:eastAsia="en-US"/>
        </w:rPr>
        <w:t>covidové situaci lze předpokládat, že by kreativní vouchery mohly být účinným nástrojem pro znovuoživení ekonomiky, měly by nabídnout způsob, jak vytvořit trvalou hodnotu ve firmách tak, aby rozvíjely svou pozici na trhu a byly schopné oslovit dostatečné množství klientů na stávajících i nových trzích. Míří tedy na uvědomění si přidané hodnoty kreativních řešení.</w:t>
      </w:r>
    </w:p>
    <w:p w14:paraId="7F53F347" w14:textId="77777777" w:rsidR="00580B0C" w:rsidRDefault="00580B0C" w:rsidP="007B1383">
      <w:pPr>
        <w:pStyle w:val="Normlnweb"/>
        <w:shd w:val="clear" w:color="auto" w:fill="FFFFFF"/>
        <w:spacing w:before="0" w:beforeAutospacing="0" w:after="0" w:afterAutospacing="0" w:line="259" w:lineRule="auto"/>
        <w:jc w:val="both"/>
        <w:rPr>
          <w:rFonts w:ascii="Arial" w:eastAsia="Calibri" w:hAnsi="Arial" w:cs="Arial"/>
          <w:iCs/>
          <w:sz w:val="20"/>
          <w:szCs w:val="20"/>
          <w:lang w:eastAsia="en-US"/>
        </w:rPr>
      </w:pPr>
    </w:p>
    <w:p w14:paraId="52A8D783" w14:textId="77777777" w:rsidR="00580B0C" w:rsidRPr="00DA7ABC" w:rsidRDefault="00580B0C" w:rsidP="007B1383">
      <w:pPr>
        <w:pStyle w:val="Normlnweb"/>
        <w:shd w:val="clear" w:color="auto" w:fill="FFFFFF"/>
        <w:spacing w:before="0" w:beforeAutospacing="0" w:after="0" w:afterAutospacing="0" w:line="259" w:lineRule="auto"/>
        <w:jc w:val="both"/>
        <w:rPr>
          <w:rFonts w:ascii="Arial" w:eastAsia="Calibri" w:hAnsi="Arial" w:cs="Arial"/>
          <w:iCs/>
          <w:sz w:val="20"/>
          <w:szCs w:val="20"/>
          <w:lang w:eastAsia="en-US"/>
        </w:rPr>
      </w:pPr>
      <w:r>
        <w:rPr>
          <w:rFonts w:ascii="Arial" w:hAnsi="Arial" w:cs="Arial"/>
          <w:sz w:val="20"/>
        </w:rPr>
        <w:t xml:space="preserve">Konkrétní popis podporovaných aktivit je součástí </w:t>
      </w:r>
      <w:r w:rsidRPr="00524527">
        <w:rPr>
          <w:rFonts w:ascii="Arial" w:hAnsi="Arial" w:cs="Arial"/>
          <w:sz w:val="20"/>
        </w:rPr>
        <w:t>přílohy č. 4</w:t>
      </w:r>
      <w:r>
        <w:rPr>
          <w:rFonts w:ascii="Arial" w:hAnsi="Arial" w:cs="Arial"/>
          <w:sz w:val="20"/>
        </w:rPr>
        <w:t xml:space="preserve"> tohoto návrhu.</w:t>
      </w:r>
      <w:r w:rsidRPr="00DA7ABC">
        <w:rPr>
          <w:rFonts w:ascii="Arial" w:eastAsia="Calibri" w:hAnsi="Arial" w:cs="Arial"/>
          <w:iCs/>
          <w:sz w:val="20"/>
          <w:szCs w:val="20"/>
          <w:lang w:eastAsia="en-US"/>
        </w:rPr>
        <w:t xml:space="preserve"> </w:t>
      </w:r>
    </w:p>
    <w:p w14:paraId="3260AC02" w14:textId="77777777" w:rsidR="00580B0C" w:rsidRPr="00DA7ABC" w:rsidRDefault="00580B0C" w:rsidP="007B1383">
      <w:pPr>
        <w:pStyle w:val="Normlnweb"/>
        <w:shd w:val="clear" w:color="auto" w:fill="FFFFFF"/>
        <w:spacing w:before="0" w:beforeAutospacing="0" w:after="0" w:afterAutospacing="0" w:line="259" w:lineRule="auto"/>
        <w:jc w:val="both"/>
        <w:rPr>
          <w:rFonts w:ascii="Arial" w:eastAsia="Calibri" w:hAnsi="Arial" w:cs="Arial"/>
          <w:iCs/>
          <w:sz w:val="20"/>
          <w:szCs w:val="20"/>
          <w:lang w:eastAsia="en-US"/>
        </w:rPr>
      </w:pPr>
    </w:p>
    <w:p w14:paraId="41B3A663" w14:textId="77777777" w:rsidR="00580B0C" w:rsidRPr="00F6097F" w:rsidRDefault="00580B0C" w:rsidP="007B1383">
      <w:pPr>
        <w:pStyle w:val="Zkladntextodsazen"/>
        <w:spacing w:after="160"/>
        <w:ind w:left="0"/>
        <w:jc w:val="both"/>
        <w:rPr>
          <w:rFonts w:ascii="Arial" w:hAnsi="Arial" w:cs="Arial"/>
          <w:sz w:val="20"/>
        </w:rPr>
      </w:pPr>
      <w:r>
        <w:rPr>
          <w:rFonts w:ascii="Arial" w:hAnsi="Arial" w:cs="Arial"/>
          <w:sz w:val="20"/>
        </w:rPr>
        <w:t xml:space="preserve">Program je tzv. průběžný, což znamená, že žádosti se vyhodnocují kontinuálně tak, jak přicházejí. Tím regionální programu JPV neztrácí svůj význam, protože jde o podporu ze strany JčK směrem k malým </w:t>
      </w:r>
      <w:r>
        <w:rPr>
          <w:rFonts w:ascii="Arial" w:hAnsi="Arial" w:cs="Arial"/>
          <w:sz w:val="20"/>
        </w:rPr>
        <w:br/>
        <w:t>a středním podnikům, jejich inovací a propojení na výzkumné organizace.</w:t>
      </w:r>
    </w:p>
    <w:p w14:paraId="2402FFC1" w14:textId="77777777" w:rsidR="00580B0C" w:rsidRDefault="00580B0C" w:rsidP="007B1383">
      <w:pPr>
        <w:pStyle w:val="KUJKnormal"/>
      </w:pPr>
      <w:r>
        <w:t>S organizací bude uzavřena smlouva, ve které jsou činnosti ve veřejném zájmu přesně definovány. Následně pak bude smlouva předložena k podpisu za Jihočeský kraj hejtmanovi Jihočeského kraje.</w:t>
      </w:r>
    </w:p>
    <w:p w14:paraId="221A5626" w14:textId="77777777" w:rsidR="00580B0C" w:rsidRDefault="00580B0C" w:rsidP="007B1383">
      <w:pPr>
        <w:spacing w:before="100" w:beforeAutospacing="1" w:after="100" w:afterAutospacing="1"/>
        <w:jc w:val="both"/>
        <w:textAlignment w:val="baseline"/>
        <w:rPr>
          <w:rFonts w:ascii="Arial" w:hAnsi="Arial" w:cs="Arial"/>
        </w:rPr>
      </w:pPr>
      <w:r>
        <w:rPr>
          <w:rFonts w:ascii="Arial" w:hAnsi="Arial" w:cs="Arial"/>
        </w:rPr>
        <w:t>V </w:t>
      </w:r>
      <w:r w:rsidRPr="00524527">
        <w:rPr>
          <w:rFonts w:ascii="Arial" w:hAnsi="Arial" w:cs="Arial"/>
        </w:rPr>
        <w:t>příloze č. 5</w:t>
      </w:r>
      <w:r>
        <w:rPr>
          <w:rFonts w:ascii="Arial" w:hAnsi="Arial" w:cs="Arial"/>
        </w:rPr>
        <w:t xml:space="preserve"> naleznete Závěrečnou zprávu Programu podpory spolupráce podniků v Jihočeském kraji </w:t>
      </w:r>
      <w:r>
        <w:rPr>
          <w:rFonts w:ascii="Arial" w:hAnsi="Arial" w:cs="Arial"/>
        </w:rPr>
        <w:br/>
        <w:t>a výzkumných organizací „Jihočeské podnikatelské vouchery“.</w:t>
      </w:r>
    </w:p>
    <w:p w14:paraId="6767AAC5" w14:textId="77777777" w:rsidR="00580B0C" w:rsidRDefault="00580B0C" w:rsidP="000D0D3F">
      <w:pPr>
        <w:pStyle w:val="KUJKnormal"/>
      </w:pPr>
    </w:p>
    <w:p w14:paraId="0F0F45E6" w14:textId="77777777" w:rsidR="00580B0C" w:rsidRDefault="00580B0C" w:rsidP="000D0D3F">
      <w:pPr>
        <w:pStyle w:val="KUJKnormal"/>
      </w:pPr>
    </w:p>
    <w:p w14:paraId="57F94578" w14:textId="77777777" w:rsidR="00580B0C" w:rsidRDefault="00580B0C" w:rsidP="007B1383">
      <w:pPr>
        <w:pStyle w:val="KUJKnormal"/>
      </w:pPr>
      <w:r>
        <w:t xml:space="preserve">Finanční nároky a krytí: Finanční položky jsou alokovány v rozpočtu OREG 2021 </w:t>
      </w:r>
      <w:r w:rsidRPr="007B1383">
        <w:t>(§2510, pol. 5212, UZ 92, ORJ 653)</w:t>
      </w:r>
    </w:p>
    <w:p w14:paraId="10EB0049" w14:textId="77777777" w:rsidR="00580B0C" w:rsidRDefault="00580B0C" w:rsidP="000D0D3F">
      <w:pPr>
        <w:pStyle w:val="KUJKnormal"/>
      </w:pPr>
    </w:p>
    <w:p w14:paraId="2276B561" w14:textId="77777777" w:rsidR="00580B0C" w:rsidRDefault="00580B0C" w:rsidP="000D0D3F">
      <w:pPr>
        <w:pStyle w:val="KUJKnormal"/>
      </w:pPr>
    </w:p>
    <w:p w14:paraId="3F19214E" w14:textId="77777777" w:rsidR="00580B0C" w:rsidRDefault="00580B0C" w:rsidP="000D0D3F">
      <w:pPr>
        <w:pStyle w:val="KUJKnormal"/>
      </w:pPr>
    </w:p>
    <w:p w14:paraId="421F89B9" w14:textId="77777777" w:rsidR="00580B0C" w:rsidRDefault="00580B0C" w:rsidP="00EC5178">
      <w:pPr>
        <w:pStyle w:val="KUJKnormal"/>
      </w:pPr>
      <w:r>
        <w:t>Vyjádření správce rozpočtu:</w:t>
      </w:r>
      <w:r w:rsidRPr="00EC5178">
        <w:t xml:space="preserve"> </w:t>
      </w:r>
      <w:r>
        <w:t>Ing. Kateřina Francová</w:t>
      </w:r>
      <w:r w:rsidRPr="007666AA">
        <w:t xml:space="preserve"> - </w:t>
      </w:r>
      <w:r>
        <w:t>Ekonomický odbor (OEKO):</w:t>
      </w:r>
      <w:r w:rsidRPr="007666AA">
        <w:t xml:space="preserve"> </w:t>
      </w:r>
      <w:r>
        <w:t xml:space="preserve"> Souhlasím</w:t>
      </w:r>
      <w:r w:rsidRPr="007666AA">
        <w:t xml:space="preserve"> - </w:t>
      </w:r>
      <w:r>
        <w:t xml:space="preserve"> z hlediska rozpočtového krytí. Finanční prostředky na tento účel jsou alokovány ve schváleném rozpočtu OREG na rok 2021 - ORJ 0653 dotační politika - běžné výdaje, § 2510, pol. 5212, UZ 92.</w:t>
      </w:r>
    </w:p>
    <w:p w14:paraId="4EF3569F" w14:textId="77777777" w:rsidR="00580B0C" w:rsidRDefault="00580B0C" w:rsidP="000D0D3F">
      <w:pPr>
        <w:pStyle w:val="KUJKnormal"/>
      </w:pPr>
    </w:p>
    <w:p w14:paraId="684EF87C" w14:textId="77777777" w:rsidR="00580B0C" w:rsidRDefault="00580B0C" w:rsidP="000D0D3F">
      <w:pPr>
        <w:pStyle w:val="KUJKnormal"/>
      </w:pPr>
    </w:p>
    <w:p w14:paraId="389FAE60" w14:textId="77777777" w:rsidR="00580B0C" w:rsidRDefault="00580B0C" w:rsidP="000D0D3F">
      <w:pPr>
        <w:pStyle w:val="KUJKnormal"/>
      </w:pPr>
    </w:p>
    <w:p w14:paraId="60F15FFB" w14:textId="77777777" w:rsidR="00580B0C" w:rsidRDefault="00580B0C" w:rsidP="000D0D3F">
      <w:pPr>
        <w:pStyle w:val="KUJKnormal"/>
      </w:pPr>
      <w:r>
        <w:t>Návrh projednán (stanoviska):</w:t>
      </w:r>
    </w:p>
    <w:p w14:paraId="26FC087C" w14:textId="77777777" w:rsidR="00580B0C" w:rsidRDefault="00580B0C" w:rsidP="000D0D3F">
      <w:pPr>
        <w:pStyle w:val="KUJKnormal"/>
      </w:pPr>
    </w:p>
    <w:p w14:paraId="2DDE50E5" w14:textId="77777777" w:rsidR="00580B0C" w:rsidRDefault="00580B0C" w:rsidP="000D0D3F">
      <w:pPr>
        <w:pStyle w:val="KUJKnormal"/>
      </w:pPr>
      <w:r>
        <w:t>Rada kraje projednala žádost Jihočeského vědeckotechnického parku, a.s., IČO 28080581, o poskytnutí individuální dotace na svém jednání dne 10. 6. 2021 a přijala ho svým usnesením, kterým jej doporučuje zastupitelstvu kraje schválit.</w:t>
      </w:r>
    </w:p>
    <w:p w14:paraId="44D21E7C" w14:textId="77777777" w:rsidR="00580B0C" w:rsidRDefault="00580B0C" w:rsidP="000D0D3F">
      <w:pPr>
        <w:pStyle w:val="KUJKnormal"/>
      </w:pPr>
    </w:p>
    <w:p w14:paraId="4BE844DA" w14:textId="77777777" w:rsidR="00580B0C" w:rsidRPr="00A521E1" w:rsidRDefault="00580B0C" w:rsidP="00CF70EA">
      <w:pPr>
        <w:pStyle w:val="KUJKnormal"/>
      </w:pPr>
      <w:r>
        <w:t>JUDr. Lukáš Glaser</w:t>
      </w:r>
      <w:r w:rsidRPr="00A521E1">
        <w:t xml:space="preserve"> - </w:t>
      </w:r>
      <w:r>
        <w:t>Odbor legislativy a vnitřních věcí (OLVV):</w:t>
      </w:r>
      <w:r w:rsidRPr="00A521E1">
        <w:t xml:space="preserve"> </w:t>
      </w:r>
      <w:r>
        <w:t xml:space="preserve">Souhlasím </w:t>
      </w:r>
      <w:r w:rsidRPr="00A521E1">
        <w:t xml:space="preserve">- </w:t>
      </w:r>
    </w:p>
    <w:p w14:paraId="28A635D0" w14:textId="77777777" w:rsidR="00580B0C" w:rsidRDefault="00580B0C" w:rsidP="000D0D3F">
      <w:pPr>
        <w:pStyle w:val="KUJKnormal"/>
      </w:pPr>
    </w:p>
    <w:p w14:paraId="0B6B4582" w14:textId="77777777" w:rsidR="00580B0C" w:rsidRDefault="00580B0C" w:rsidP="000D0D3F">
      <w:pPr>
        <w:pStyle w:val="KUJKnormal"/>
      </w:pPr>
    </w:p>
    <w:p w14:paraId="2D5630A5" w14:textId="77777777" w:rsidR="00580B0C" w:rsidRDefault="00580B0C" w:rsidP="000D0D3F">
      <w:pPr>
        <w:pStyle w:val="KUJKtucny"/>
      </w:pPr>
      <w:r w:rsidRPr="007939A8">
        <w:t>PŘÍLOHY:</w:t>
      </w:r>
    </w:p>
    <w:p w14:paraId="5E94E80E" w14:textId="77777777" w:rsidR="00580B0C" w:rsidRPr="00B52AA9" w:rsidRDefault="00580B0C" w:rsidP="00580B0C">
      <w:pPr>
        <w:pStyle w:val="KUJKcislovany"/>
        <w:spacing w:line="240" w:lineRule="auto"/>
      </w:pPr>
      <w:r>
        <w:t>zadost JVTP vouchery</w:t>
      </w:r>
      <w:r w:rsidRPr="0081756D">
        <w:t xml:space="preserve"> (</w:t>
      </w:r>
      <w:r>
        <w:t>vouchery.pdf</w:t>
      </w:r>
      <w:r w:rsidRPr="0081756D">
        <w:t>)</w:t>
      </w:r>
    </w:p>
    <w:p w14:paraId="1197512F" w14:textId="77777777" w:rsidR="00580B0C" w:rsidRPr="00B52AA9" w:rsidRDefault="00580B0C" w:rsidP="00580B0C">
      <w:pPr>
        <w:pStyle w:val="KUJKcislovany"/>
        <w:spacing w:line="240" w:lineRule="auto"/>
      </w:pPr>
      <w:r>
        <w:t>Kalkulace vyrovnávací platby</w:t>
      </w:r>
      <w:r w:rsidRPr="0081756D">
        <w:t xml:space="preserve"> (</w:t>
      </w:r>
      <w:r>
        <w:t>Příloha č. 2 - Kalkulace vyrovnávací platby Jihočeských podnikatelských voucherů 2021.docx</w:t>
      </w:r>
      <w:r w:rsidRPr="0081756D">
        <w:t>)</w:t>
      </w:r>
    </w:p>
    <w:p w14:paraId="7512215B" w14:textId="77777777" w:rsidR="00580B0C" w:rsidRPr="00B52AA9" w:rsidRDefault="00580B0C" w:rsidP="00580B0C">
      <w:pPr>
        <w:pStyle w:val="KUJKcislovany"/>
        <w:spacing w:line="240" w:lineRule="auto"/>
      </w:pPr>
      <w:r>
        <w:t xml:space="preserve">smlouva o poskytnuti dotace JVTP </w:t>
      </w:r>
      <w:r w:rsidRPr="0081756D">
        <w:t xml:space="preserve"> (</w:t>
      </w:r>
      <w:r>
        <w:t>Příloha č. 3 -Smlouva o poskytnutí dotace JPV - 2021.docx</w:t>
      </w:r>
      <w:r w:rsidRPr="0081756D">
        <w:t>)</w:t>
      </w:r>
    </w:p>
    <w:p w14:paraId="5396A37B" w14:textId="77777777" w:rsidR="00580B0C" w:rsidRPr="00B52AA9" w:rsidRDefault="00580B0C" w:rsidP="00580B0C">
      <w:pPr>
        <w:pStyle w:val="KUJKcislovany"/>
        <w:spacing w:line="240" w:lineRule="auto"/>
      </w:pPr>
      <w:r>
        <w:t>specifikace cinnosti zavazku</w:t>
      </w:r>
      <w:r w:rsidRPr="0081756D">
        <w:t xml:space="preserve"> (</w:t>
      </w:r>
      <w:r>
        <w:t>Příloha č. 4 - Specifikace činností závazku veřejné služby.docx</w:t>
      </w:r>
      <w:r w:rsidRPr="0081756D">
        <w:t>)</w:t>
      </w:r>
    </w:p>
    <w:p w14:paraId="550A9699" w14:textId="77777777" w:rsidR="00580B0C" w:rsidRPr="00B52AA9" w:rsidRDefault="00580B0C" w:rsidP="00580B0C">
      <w:pPr>
        <w:pStyle w:val="KUJKcislovany"/>
        <w:spacing w:line="240" w:lineRule="auto"/>
      </w:pPr>
      <w:r>
        <w:t>závěrečná zpráva vouchery</w:t>
      </w:r>
      <w:r w:rsidRPr="0081756D">
        <w:t xml:space="preserve"> (</w:t>
      </w:r>
      <w:r>
        <w:t>Příloha č. 5 - Za´veˇrecˇna´ zpra´va-vouchery-2020_2021.pdf</w:t>
      </w:r>
      <w:r w:rsidRPr="0081756D">
        <w:t>)</w:t>
      </w:r>
    </w:p>
    <w:p w14:paraId="12406186" w14:textId="77777777" w:rsidR="00580B0C" w:rsidRPr="00994288" w:rsidRDefault="00580B0C" w:rsidP="00994288">
      <w:pPr>
        <w:pStyle w:val="KUJKnormal"/>
      </w:pPr>
    </w:p>
    <w:p w14:paraId="4AEA0169" w14:textId="77777777" w:rsidR="00580B0C" w:rsidRDefault="00580B0C" w:rsidP="000D0D3F">
      <w:pPr>
        <w:pStyle w:val="KUJKnormal"/>
      </w:pPr>
    </w:p>
    <w:p w14:paraId="0E44E7AC" w14:textId="77777777" w:rsidR="00580B0C" w:rsidRPr="007C1EE7" w:rsidRDefault="00580B0C" w:rsidP="000D0D3F">
      <w:pPr>
        <w:pStyle w:val="KUJKtucny"/>
      </w:pPr>
      <w:r w:rsidRPr="007C1EE7">
        <w:t>Zodpovídá:</w:t>
      </w:r>
      <w:r>
        <w:t xml:space="preserve"> </w:t>
      </w:r>
      <w:r w:rsidRPr="00F15908">
        <w:rPr>
          <w:b w:val="0"/>
          <w:bCs/>
        </w:rPr>
        <w:t>vedoucí OREG – Ing. Luboš Průcha</w:t>
      </w:r>
    </w:p>
    <w:p w14:paraId="047872C0" w14:textId="77777777" w:rsidR="00580B0C" w:rsidRDefault="00580B0C" w:rsidP="000D0D3F">
      <w:pPr>
        <w:pStyle w:val="KUJKnormal"/>
      </w:pPr>
    </w:p>
    <w:p w14:paraId="1BD6EB3F" w14:textId="77777777" w:rsidR="00580B0C" w:rsidRDefault="00580B0C" w:rsidP="000D0D3F">
      <w:pPr>
        <w:pStyle w:val="KUJKnormal"/>
      </w:pPr>
      <w:r>
        <w:t>Termín kontroly: 09/2021</w:t>
      </w:r>
    </w:p>
    <w:p w14:paraId="1F0B8BE8" w14:textId="77777777" w:rsidR="00580B0C" w:rsidRDefault="00580B0C" w:rsidP="000D0D3F">
      <w:pPr>
        <w:pStyle w:val="KUJKnormal"/>
      </w:pPr>
      <w:r>
        <w:t>Termín splnění: 09/2021</w:t>
      </w:r>
    </w:p>
    <w:p w14:paraId="190309B7" w14:textId="77777777" w:rsidR="00580B0C" w:rsidRDefault="00580B0C"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EDAF1" w14:textId="77777777" w:rsidR="008F47DD" w:rsidRDefault="008F47DD" w:rsidP="002C5539">
      <w:r>
        <w:separator/>
      </w:r>
    </w:p>
  </w:endnote>
  <w:endnote w:type="continuationSeparator" w:id="0">
    <w:p w14:paraId="353322DA" w14:textId="77777777" w:rsidR="008F47DD" w:rsidRDefault="008F47DD"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8F47DD"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8F47DD"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9A81B" w14:textId="77777777" w:rsidR="008F47DD" w:rsidRDefault="008F47DD" w:rsidP="002C5539">
      <w:r>
        <w:separator/>
      </w:r>
    </w:p>
  </w:footnote>
  <w:footnote w:type="continuationSeparator" w:id="0">
    <w:p w14:paraId="67D4C3BB" w14:textId="77777777" w:rsidR="008F47DD" w:rsidRDefault="008F47DD"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0BB9C" w14:textId="77777777" w:rsidR="00580B0C" w:rsidRDefault="00580B0C" w:rsidP="00580B0C">
    <w:r>
      <w:rPr>
        <w:noProof/>
      </w:rPr>
      <w:pict w14:anchorId="64D959A5">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075C2DCC" w14:textId="77777777" w:rsidR="00580B0C" w:rsidRPr="00D405BE" w:rsidRDefault="00580B0C" w:rsidP="00580B0C">
                <w:pPr>
                  <w:spacing w:after="60"/>
                  <w:rPr>
                    <w:rFonts w:cs="Arial"/>
                    <w:b/>
                    <w:sz w:val="22"/>
                  </w:rPr>
                </w:pPr>
                <w:r w:rsidRPr="00D405BE">
                  <w:rPr>
                    <w:rFonts w:cs="Arial"/>
                    <w:b/>
                    <w:sz w:val="22"/>
                  </w:rPr>
                  <w:t>ZASTUPITELSTVO JIHOČESKÉHO KRAJE</w:t>
                </w:r>
              </w:p>
              <w:p w14:paraId="765590FC" w14:textId="77777777" w:rsidR="00580B0C" w:rsidRPr="00D405BE" w:rsidRDefault="00580B0C" w:rsidP="00580B0C">
                <w:pPr>
                  <w:spacing w:after="60"/>
                  <w:rPr>
                    <w:rFonts w:cs="Arial"/>
                    <w:sz w:val="22"/>
                  </w:rPr>
                </w:pPr>
                <w:r w:rsidRPr="00D405BE">
                  <w:rPr>
                    <w:rFonts w:cs="Arial"/>
                    <w:sz w:val="22"/>
                  </w:rPr>
                  <w:t>NÁVRH USNESENÍ</w:t>
                </w:r>
              </w:p>
            </w:txbxContent>
          </v:textbox>
        </v:shape>
      </w:pict>
    </w:r>
    <w:r>
      <w:rPr>
        <w:noProof/>
      </w:rPr>
    </w:r>
    <w:r>
      <w:pict w14:anchorId="1A5D970B">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137840D7">
        <v:rect id="_x0000_i1026" style="width:481.9pt;height:2pt" o:hralign="center" o:hrstd="t" o:hrnoshade="t" o:hr="t" fillcolor="black" stroked="f"/>
      </w:pict>
    </w:r>
  </w:p>
  <w:p w14:paraId="44C71901" w14:textId="77777777" w:rsidR="00580B0C" w:rsidRPr="00580B0C" w:rsidRDefault="00580B0C" w:rsidP="00580B0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590D"/>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B0C"/>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7DD"/>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 w:type="paragraph" w:styleId="Zkladntextodsazen">
    <w:name w:val="Body Text Indent"/>
    <w:basedOn w:val="Normln"/>
    <w:link w:val="ZkladntextodsazenChar"/>
    <w:uiPriority w:val="99"/>
    <w:unhideWhenUsed/>
    <w:rsid w:val="00580B0C"/>
    <w:pPr>
      <w:spacing w:after="120" w:line="240" w:lineRule="auto"/>
      <w:ind w:left="283"/>
    </w:pPr>
    <w:rPr>
      <w:rFonts w:ascii="Times New Roman" w:eastAsia="Times New Roman" w:hAnsi="Times New Roman"/>
      <w:sz w:val="24"/>
      <w:szCs w:val="24"/>
      <w:lang w:eastAsia="cs-CZ"/>
    </w:rPr>
  </w:style>
  <w:style w:type="character" w:customStyle="1" w:styleId="ZkladntextodsazenChar">
    <w:name w:val="Základní text odsazený Char"/>
    <w:basedOn w:val="Standardnpsmoodstavce"/>
    <w:link w:val="Zkladntextodsazen"/>
    <w:uiPriority w:val="99"/>
    <w:rsid w:val="00580B0C"/>
    <w:rPr>
      <w:rFonts w:ascii="Times New Roman" w:eastAsia="Times New Roman" w:hAnsi="Times New Roman"/>
      <w:sz w:val="24"/>
      <w:szCs w:val="24"/>
    </w:rPr>
  </w:style>
  <w:style w:type="paragraph" w:styleId="Zkladntext2">
    <w:name w:val="Body Text 2"/>
    <w:basedOn w:val="Normln"/>
    <w:link w:val="Zkladntext2Char"/>
    <w:uiPriority w:val="99"/>
    <w:unhideWhenUsed/>
    <w:rsid w:val="00580B0C"/>
    <w:pPr>
      <w:spacing w:after="120" w:line="480" w:lineRule="auto"/>
    </w:pPr>
    <w:rPr>
      <w:rFonts w:ascii="Times New Roman" w:hAnsi="Times New Roman"/>
      <w:sz w:val="28"/>
    </w:rPr>
  </w:style>
  <w:style w:type="character" w:customStyle="1" w:styleId="Zkladntext2Char">
    <w:name w:val="Základní text 2 Char"/>
    <w:basedOn w:val="Standardnpsmoodstavce"/>
    <w:link w:val="Zkladntext2"/>
    <w:uiPriority w:val="99"/>
    <w:rsid w:val="00580B0C"/>
    <w:rPr>
      <w:rFonts w:ascii="Times New Roman" w:hAnsi="Times New Roman"/>
      <w:sz w:val="28"/>
      <w:szCs w:val="22"/>
      <w:lang w:eastAsia="en-US"/>
    </w:rPr>
  </w:style>
  <w:style w:type="paragraph" w:styleId="Normlnweb">
    <w:name w:val="Normal (Web)"/>
    <w:basedOn w:val="Normln"/>
    <w:uiPriority w:val="99"/>
    <w:unhideWhenUsed/>
    <w:rsid w:val="00580B0C"/>
    <w:pPr>
      <w:spacing w:before="100" w:beforeAutospacing="1" w:after="100" w:afterAutospacing="1" w:line="240" w:lineRule="auto"/>
    </w:pPr>
    <w:rPr>
      <w:rFonts w:ascii="Times New Roman" w:eastAsia="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1330</Words>
  <Characters>7847</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2026-01-30T09:37:00Z</dcterms:created>
  <dcterms:modified xsi:type="dcterms:W3CDTF">2026-01-30T09:37:00Z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5557148</vt:i4>
  </property>
  <property fmtid="{D5CDD505-2E9C-101B-9397-08002B2CF9AE}" pid="4" name="ID_Navrh">
    <vt:i4>5671697</vt:i4>
  </property>
  <property fmtid="{D5CDD505-2E9C-101B-9397-08002B2CF9AE}" pid="5" name="UlozitJako">
    <vt:lpwstr>C:\Users\mrazkova\AppData\Local\Temp\iU70147344\Zastupitelstvo\2021-06-24\Navrhy\238-ZK-21.</vt:lpwstr>
  </property>
  <property fmtid="{D5CDD505-2E9C-101B-9397-08002B2CF9AE}" pid="6" name="Zpracovat">
    <vt:bool>false</vt:bool>
  </property>
</Properties>
</file>