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1134"/>
      </w:tblGrid>
      <w:tr w:rsidR="00451BFD" w14:paraId="3AD036D0" w14:textId="77777777" w:rsidTr="000814F8">
        <w:trPr>
          <w:trHeight w:hRule="exact" w:val="397"/>
        </w:trPr>
        <w:tc>
          <w:tcPr>
            <w:tcW w:w="2376" w:type="dxa"/>
            <w:hideMark/>
          </w:tcPr>
          <w:p w14:paraId="6C02E0D9" w14:textId="77777777" w:rsidR="00451BFD" w:rsidRDefault="00451BFD" w:rsidP="009A0EF2">
            <w:pPr>
              <w:pStyle w:val="KUJKtucny"/>
            </w:pPr>
            <w:r>
              <w:t>Datum jednání:</w:t>
            </w:r>
          </w:p>
        </w:tc>
        <w:tc>
          <w:tcPr>
            <w:tcW w:w="3828" w:type="dxa"/>
            <w:hideMark/>
          </w:tcPr>
          <w:p w14:paraId="4578D35A" w14:textId="77777777" w:rsidR="00451BFD" w:rsidRDefault="00451BFD" w:rsidP="009A0EF2">
            <w:pPr>
              <w:pStyle w:val="KUJKnormal"/>
            </w:pPr>
            <w:r>
              <w:t>18. 03. 2021</w:t>
            </w:r>
          </w:p>
        </w:tc>
        <w:tc>
          <w:tcPr>
            <w:tcW w:w="2126" w:type="dxa"/>
            <w:hideMark/>
          </w:tcPr>
          <w:p w14:paraId="4750FA89" w14:textId="77777777" w:rsidR="00451BFD" w:rsidRDefault="00451BFD" w:rsidP="009A0EF2">
            <w:pPr>
              <w:pStyle w:val="KUJKtucny"/>
            </w:pPr>
            <w:r>
              <w:t>Bod programu:</w:t>
            </w:r>
          </w:p>
        </w:tc>
        <w:tc>
          <w:tcPr>
            <w:tcW w:w="1134" w:type="dxa"/>
          </w:tcPr>
          <w:p w14:paraId="08A8479E" w14:textId="77777777" w:rsidR="00451BFD" w:rsidRDefault="00451BFD" w:rsidP="009A0EF2">
            <w:pPr>
              <w:pStyle w:val="KUJKnormal"/>
            </w:pPr>
          </w:p>
        </w:tc>
      </w:tr>
      <w:tr w:rsidR="00451BFD" w14:paraId="29AAD495" w14:textId="77777777" w:rsidTr="000814F8">
        <w:trPr>
          <w:cantSplit/>
          <w:trHeight w:hRule="exact" w:val="397"/>
        </w:trPr>
        <w:tc>
          <w:tcPr>
            <w:tcW w:w="2376" w:type="dxa"/>
            <w:hideMark/>
          </w:tcPr>
          <w:p w14:paraId="60D3AF2A" w14:textId="77777777" w:rsidR="00451BFD" w:rsidRDefault="00451BFD" w:rsidP="009A0EF2">
            <w:pPr>
              <w:pStyle w:val="KUJKtucny"/>
            </w:pPr>
            <w:r>
              <w:t>Číslo návrhu:</w:t>
            </w:r>
          </w:p>
        </w:tc>
        <w:tc>
          <w:tcPr>
            <w:tcW w:w="7088" w:type="dxa"/>
            <w:gridSpan w:val="3"/>
            <w:hideMark/>
          </w:tcPr>
          <w:p w14:paraId="33F3C3C9" w14:textId="77777777" w:rsidR="00451BFD" w:rsidRDefault="00451BFD" w:rsidP="009A0EF2">
            <w:pPr>
              <w:pStyle w:val="KUJKnormal"/>
            </w:pPr>
            <w:r>
              <w:t>53/ZK/21</w:t>
            </w:r>
          </w:p>
        </w:tc>
      </w:tr>
      <w:tr w:rsidR="00451BFD" w14:paraId="55D66AC8" w14:textId="77777777" w:rsidTr="000814F8">
        <w:trPr>
          <w:trHeight w:val="397"/>
        </w:trPr>
        <w:tc>
          <w:tcPr>
            <w:tcW w:w="2376" w:type="dxa"/>
          </w:tcPr>
          <w:p w14:paraId="19AA1473" w14:textId="77777777" w:rsidR="00451BFD" w:rsidRDefault="00451BFD" w:rsidP="009A0EF2"/>
          <w:p w14:paraId="2CDF3BB9" w14:textId="77777777" w:rsidR="00451BFD" w:rsidRDefault="00451BFD" w:rsidP="009A0EF2">
            <w:pPr>
              <w:pStyle w:val="KUJKtucny"/>
            </w:pPr>
            <w:r>
              <w:t>Název bodu:</w:t>
            </w:r>
          </w:p>
        </w:tc>
        <w:tc>
          <w:tcPr>
            <w:tcW w:w="7088" w:type="dxa"/>
            <w:gridSpan w:val="3"/>
          </w:tcPr>
          <w:p w14:paraId="0B02E7AD" w14:textId="77777777" w:rsidR="00451BFD" w:rsidRDefault="00451BFD" w:rsidP="009A0EF2"/>
          <w:p w14:paraId="097E858F" w14:textId="77777777" w:rsidR="00451BFD" w:rsidRDefault="00451BFD" w:rsidP="000814F8">
            <w:pPr>
              <w:pStyle w:val="KUJKtucny"/>
              <w:jc w:val="left"/>
              <w:rPr>
                <w:sz w:val="22"/>
                <w:szCs w:val="22"/>
              </w:rPr>
            </w:pPr>
            <w:r>
              <w:rPr>
                <w:sz w:val="22"/>
                <w:szCs w:val="22"/>
              </w:rPr>
              <w:t>Plán činnosti Hospodářského výboru Zastupitelstva Jihočeského kraje na rok 2021</w:t>
            </w:r>
          </w:p>
        </w:tc>
      </w:tr>
    </w:tbl>
    <w:p w14:paraId="1DCB5E77" w14:textId="77777777" w:rsidR="00451BFD" w:rsidRDefault="00451BFD" w:rsidP="00AA0A39">
      <w:pPr>
        <w:pStyle w:val="KUJKnormal"/>
        <w:rPr>
          <w:b/>
          <w:bCs/>
        </w:rPr>
      </w:pPr>
      <w:r>
        <w:rPr>
          <w:b/>
          <w:bCs/>
        </w:rPr>
        <w:pict w14:anchorId="3EEF5F54">
          <v:rect id="_x0000_i1027" style="width:453.6pt;height:1.5pt" o:hralign="center" o:hrstd="t" o:hrnoshade="t" o:hr="t" fillcolor="black" stroked="f"/>
        </w:pict>
      </w:r>
    </w:p>
    <w:p w14:paraId="1DF3AC9C" w14:textId="77777777" w:rsidR="00451BFD" w:rsidRDefault="00451BFD" w:rsidP="00AA0A39">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451BFD" w14:paraId="0F193524" w14:textId="77777777" w:rsidTr="009A0EF2">
        <w:trPr>
          <w:trHeight w:val="397"/>
        </w:trPr>
        <w:tc>
          <w:tcPr>
            <w:tcW w:w="2350" w:type="dxa"/>
            <w:hideMark/>
          </w:tcPr>
          <w:p w14:paraId="2831AB0C" w14:textId="77777777" w:rsidR="00451BFD" w:rsidRDefault="00451BFD" w:rsidP="009A0EF2">
            <w:pPr>
              <w:pStyle w:val="KUJKtucny"/>
            </w:pPr>
            <w:bookmarkStart w:id="0" w:name="_GoBack"/>
            <w:bookmarkEnd w:id="0"/>
            <w:r>
              <w:t>Předkladatel:</w:t>
            </w:r>
          </w:p>
        </w:tc>
        <w:tc>
          <w:tcPr>
            <w:tcW w:w="6862" w:type="dxa"/>
          </w:tcPr>
          <w:p w14:paraId="147BC50D" w14:textId="77777777" w:rsidR="00451BFD" w:rsidRDefault="00451BFD" w:rsidP="009A0EF2">
            <w:pPr>
              <w:pStyle w:val="KUJKnormal"/>
            </w:pPr>
            <w:r>
              <w:t>Ing. František Konečný, Ph.D.</w:t>
            </w:r>
          </w:p>
          <w:p w14:paraId="6B434775" w14:textId="77777777" w:rsidR="00451BFD" w:rsidRDefault="00451BFD" w:rsidP="009A0EF2"/>
        </w:tc>
      </w:tr>
      <w:tr w:rsidR="00451BFD" w14:paraId="60C48A1E" w14:textId="77777777" w:rsidTr="009A0EF2">
        <w:trPr>
          <w:trHeight w:val="397"/>
        </w:trPr>
        <w:tc>
          <w:tcPr>
            <w:tcW w:w="2350" w:type="dxa"/>
          </w:tcPr>
          <w:p w14:paraId="55184D44" w14:textId="77777777" w:rsidR="00451BFD" w:rsidRDefault="00451BFD" w:rsidP="009A0EF2">
            <w:pPr>
              <w:pStyle w:val="KUJKtucny"/>
            </w:pPr>
            <w:r>
              <w:t>Zpracoval:</w:t>
            </w:r>
          </w:p>
          <w:p w14:paraId="20590378" w14:textId="77777777" w:rsidR="00451BFD" w:rsidRDefault="00451BFD" w:rsidP="009A0EF2"/>
        </w:tc>
        <w:tc>
          <w:tcPr>
            <w:tcW w:w="6862" w:type="dxa"/>
            <w:hideMark/>
          </w:tcPr>
          <w:p w14:paraId="11E6DD4D" w14:textId="77777777" w:rsidR="00451BFD" w:rsidRDefault="00451BFD" w:rsidP="009A0EF2">
            <w:pPr>
              <w:pStyle w:val="KUJKnormal"/>
            </w:pPr>
            <w:r>
              <w:t>KHEJ</w:t>
            </w:r>
          </w:p>
        </w:tc>
      </w:tr>
      <w:tr w:rsidR="00451BFD" w14:paraId="478D5068" w14:textId="77777777" w:rsidTr="009A0EF2">
        <w:trPr>
          <w:trHeight w:val="397"/>
        </w:trPr>
        <w:tc>
          <w:tcPr>
            <w:tcW w:w="2350" w:type="dxa"/>
          </w:tcPr>
          <w:p w14:paraId="6EF3951C" w14:textId="77777777" w:rsidR="00451BFD" w:rsidRPr="009715F9" w:rsidRDefault="00451BFD" w:rsidP="009A0EF2">
            <w:pPr>
              <w:pStyle w:val="KUJKnormal"/>
              <w:rPr>
                <w:b/>
              </w:rPr>
            </w:pPr>
            <w:r w:rsidRPr="009715F9">
              <w:rPr>
                <w:b/>
              </w:rPr>
              <w:t>Vedoucí odboru:</w:t>
            </w:r>
          </w:p>
          <w:p w14:paraId="11AC48D0" w14:textId="77777777" w:rsidR="00451BFD" w:rsidRDefault="00451BFD" w:rsidP="009A0EF2"/>
        </w:tc>
        <w:tc>
          <w:tcPr>
            <w:tcW w:w="6862" w:type="dxa"/>
            <w:hideMark/>
          </w:tcPr>
          <w:p w14:paraId="19720DEF" w14:textId="77777777" w:rsidR="00451BFD" w:rsidRDefault="00451BFD" w:rsidP="009A0EF2">
            <w:pPr>
              <w:pStyle w:val="KUJKnormal"/>
            </w:pPr>
            <w:r>
              <w:t>Mgr. Petr Soukup</w:t>
            </w:r>
          </w:p>
        </w:tc>
      </w:tr>
    </w:tbl>
    <w:p w14:paraId="135283AB" w14:textId="77777777" w:rsidR="00451BFD" w:rsidRPr="00F51FA3" w:rsidRDefault="00451BFD" w:rsidP="00AA0A39">
      <w:pPr>
        <w:pStyle w:val="KUJKnormal"/>
        <w:rPr>
          <w:sz w:val="16"/>
          <w:szCs w:val="16"/>
        </w:rPr>
      </w:pPr>
    </w:p>
    <w:p w14:paraId="5F920173" w14:textId="77777777" w:rsidR="00451BFD" w:rsidRPr="0052161F" w:rsidRDefault="00451BFD" w:rsidP="00AA0A39">
      <w:pPr>
        <w:pStyle w:val="KUJKtucny"/>
      </w:pPr>
      <w:r w:rsidRPr="0052161F">
        <w:t>NÁVRH USNESENÍ</w:t>
      </w:r>
    </w:p>
    <w:p w14:paraId="7F4E79CE" w14:textId="77777777" w:rsidR="00451BFD" w:rsidRDefault="00451BFD" w:rsidP="00AA0A39">
      <w:pPr>
        <w:pStyle w:val="KUJKnormal"/>
        <w:rPr>
          <w:rFonts w:ascii="Calibri" w:hAnsi="Calibri" w:cs="Calibri"/>
          <w:sz w:val="12"/>
          <w:szCs w:val="12"/>
        </w:rPr>
      </w:pPr>
      <w:bookmarkStart w:id="1" w:name="US_ZaVeVeci"/>
      <w:bookmarkEnd w:id="1"/>
    </w:p>
    <w:p w14:paraId="00A3DCA9" w14:textId="77777777" w:rsidR="00451BFD" w:rsidRPr="00841DFC" w:rsidRDefault="00451BFD" w:rsidP="00451BFD">
      <w:pPr>
        <w:pStyle w:val="KUJKPolozka"/>
        <w:spacing w:line="240" w:lineRule="auto"/>
      </w:pPr>
      <w:r w:rsidRPr="00841DFC">
        <w:t>Zastupitelstvo Jihočeského kraje</w:t>
      </w:r>
    </w:p>
    <w:p w14:paraId="2954E695" w14:textId="77777777" w:rsidR="00451BFD" w:rsidRDefault="00451BFD" w:rsidP="00EE28DE">
      <w:pPr>
        <w:pStyle w:val="KUJKdoplnek2"/>
        <w:numPr>
          <w:ilvl w:val="0"/>
          <w:numId w:val="0"/>
        </w:numPr>
        <w:ind w:left="360" w:hanging="360"/>
      </w:pPr>
      <w:r w:rsidRPr="00AF7BAE">
        <w:t>schvaluje</w:t>
      </w:r>
    </w:p>
    <w:p w14:paraId="391EBBE5" w14:textId="77777777" w:rsidR="00451BFD" w:rsidRDefault="00451BFD" w:rsidP="00EE28DE">
      <w:pPr>
        <w:pStyle w:val="KUJKnormal"/>
      </w:pPr>
      <w:r>
        <w:t>plán činnosti Hospodářského výboru Zastupitelstva Jihočeského kraje na rok 2021 dle důvodové zprávy návrhu č. 53/ZK/21.</w:t>
      </w:r>
    </w:p>
    <w:p w14:paraId="6B1B1665" w14:textId="77777777" w:rsidR="00451BFD" w:rsidRDefault="00451BFD" w:rsidP="00EE28DE">
      <w:pPr>
        <w:pStyle w:val="KUJKnormal"/>
      </w:pPr>
    </w:p>
    <w:p w14:paraId="09370CE4" w14:textId="77777777" w:rsidR="00451BFD" w:rsidRDefault="00451BFD" w:rsidP="000108DC">
      <w:pPr>
        <w:pStyle w:val="KUJKmezeraDZ"/>
      </w:pPr>
      <w:bookmarkStart w:id="2" w:name="US_DuvodZprava"/>
      <w:bookmarkEnd w:id="2"/>
    </w:p>
    <w:p w14:paraId="1FF64565" w14:textId="77777777" w:rsidR="00451BFD" w:rsidRDefault="00451BFD" w:rsidP="000108DC">
      <w:pPr>
        <w:pStyle w:val="KUJKnadpisDZ"/>
      </w:pPr>
      <w:r>
        <w:t>DŮVODOVÁ ZPRÁVA</w:t>
      </w:r>
    </w:p>
    <w:p w14:paraId="45D100DE" w14:textId="77777777" w:rsidR="00451BFD" w:rsidRPr="009B7B0B" w:rsidRDefault="00451BFD" w:rsidP="000108DC">
      <w:pPr>
        <w:pStyle w:val="KUJKmezeraDZ"/>
      </w:pPr>
    </w:p>
    <w:p w14:paraId="7E1B21EE" w14:textId="77777777" w:rsidR="00451BFD" w:rsidRDefault="00451BFD" w:rsidP="00F509D0">
      <w:pPr>
        <w:pStyle w:val="KUJKmezeraDZ"/>
      </w:pPr>
    </w:p>
    <w:p w14:paraId="71F1AD21" w14:textId="77777777" w:rsidR="00451BFD" w:rsidRDefault="00451BFD" w:rsidP="00C1007A">
      <w:pPr>
        <w:pStyle w:val="KUJKnormal"/>
      </w:pPr>
      <w:r>
        <w:t>Zastupitelstvo Jihočeského kraje dne 3. 12. 2020 usnesením č. 14/2020/ZK-2 zřídilo výbory zastupitelstva pro volební období 2020–2024. Hospodářský výbor (HV) je pověřen následujícími rámcovými úkoly:</w:t>
      </w:r>
    </w:p>
    <w:p w14:paraId="5F8BCCFD" w14:textId="77777777" w:rsidR="00451BFD" w:rsidRDefault="00451BFD" w:rsidP="00C1007A">
      <w:pPr>
        <w:pStyle w:val="Odstavecseseznamem"/>
        <w:numPr>
          <w:ilvl w:val="0"/>
          <w:numId w:val="12"/>
        </w:numPr>
        <w:tabs>
          <w:tab w:val="left" w:pos="284"/>
        </w:tabs>
        <w:spacing w:line="20" w:lineRule="atLeast"/>
        <w:ind w:left="284" w:hanging="284"/>
        <w:jc w:val="both"/>
        <w:rPr>
          <w:rFonts w:ascii="Arial" w:hAnsi="Arial" w:cs="Arial"/>
          <w:szCs w:val="20"/>
        </w:rPr>
      </w:pPr>
      <w:r>
        <w:rPr>
          <w:rFonts w:ascii="Arial" w:hAnsi="Arial" w:cs="Arial"/>
          <w:szCs w:val="20"/>
        </w:rPr>
        <w:t>vyjadřuje se ke strategickým a koncepčním dokumentům kraje v oblasti rozvoje kraje, hospodářství, zaměstnanosti, vědy, výzkumu a inovací,</w:t>
      </w:r>
    </w:p>
    <w:p w14:paraId="1143E572" w14:textId="77777777" w:rsidR="00451BFD" w:rsidRDefault="00451BFD" w:rsidP="00C1007A">
      <w:pPr>
        <w:pStyle w:val="Odstavecseseznamem"/>
        <w:numPr>
          <w:ilvl w:val="0"/>
          <w:numId w:val="12"/>
        </w:numPr>
        <w:tabs>
          <w:tab w:val="left" w:pos="284"/>
        </w:tabs>
        <w:spacing w:line="20" w:lineRule="atLeast"/>
        <w:ind w:left="284" w:hanging="284"/>
        <w:jc w:val="both"/>
        <w:rPr>
          <w:rFonts w:ascii="Arial" w:hAnsi="Arial" w:cs="Arial"/>
          <w:szCs w:val="20"/>
        </w:rPr>
      </w:pPr>
      <w:r>
        <w:rPr>
          <w:rFonts w:ascii="Arial" w:hAnsi="Arial" w:cs="Arial"/>
          <w:szCs w:val="20"/>
        </w:rPr>
        <w:t>ve spolupráci se vzdělávacími institucemi napomáhá vzniku, rozšiřování vědeckovýzkumné infrastruktury,</w:t>
      </w:r>
    </w:p>
    <w:p w14:paraId="74C61097" w14:textId="77777777" w:rsidR="00451BFD" w:rsidRDefault="00451BFD" w:rsidP="00C1007A">
      <w:pPr>
        <w:pStyle w:val="Odstavecseseznamem"/>
        <w:numPr>
          <w:ilvl w:val="0"/>
          <w:numId w:val="12"/>
        </w:numPr>
        <w:tabs>
          <w:tab w:val="left" w:pos="284"/>
        </w:tabs>
        <w:spacing w:line="20" w:lineRule="atLeast"/>
        <w:ind w:left="284" w:hanging="284"/>
        <w:jc w:val="both"/>
        <w:rPr>
          <w:rFonts w:ascii="Arial" w:hAnsi="Arial" w:cs="Arial"/>
          <w:szCs w:val="20"/>
        </w:rPr>
      </w:pPr>
      <w:r>
        <w:rPr>
          <w:rFonts w:ascii="Arial" w:hAnsi="Arial" w:cs="Arial"/>
          <w:szCs w:val="20"/>
        </w:rPr>
        <w:t>vyjadřuje se ke grantové politice kraje včetně Programu obnovy venkova,</w:t>
      </w:r>
    </w:p>
    <w:p w14:paraId="6D776A50" w14:textId="77777777" w:rsidR="00451BFD" w:rsidRDefault="00451BFD" w:rsidP="00C1007A">
      <w:pPr>
        <w:pStyle w:val="Odstavecseseznamem"/>
        <w:numPr>
          <w:ilvl w:val="0"/>
          <w:numId w:val="12"/>
        </w:numPr>
        <w:tabs>
          <w:tab w:val="left" w:pos="284"/>
        </w:tabs>
        <w:spacing w:line="20" w:lineRule="atLeast"/>
        <w:ind w:left="284" w:hanging="284"/>
        <w:jc w:val="both"/>
        <w:rPr>
          <w:rFonts w:ascii="Arial" w:hAnsi="Arial" w:cs="Arial"/>
          <w:szCs w:val="20"/>
        </w:rPr>
      </w:pPr>
      <w:r>
        <w:rPr>
          <w:rFonts w:ascii="Arial" w:hAnsi="Arial" w:cs="Arial"/>
          <w:szCs w:val="20"/>
        </w:rPr>
        <w:t>vyjadřuje se k problematice záležitostí EU a přeshraniční spolupráce,</w:t>
      </w:r>
    </w:p>
    <w:p w14:paraId="193669D7" w14:textId="77777777" w:rsidR="00451BFD" w:rsidRDefault="00451BFD" w:rsidP="00C1007A">
      <w:pPr>
        <w:pStyle w:val="Odstavecseseznamem"/>
        <w:numPr>
          <w:ilvl w:val="0"/>
          <w:numId w:val="12"/>
        </w:numPr>
        <w:tabs>
          <w:tab w:val="left" w:pos="284"/>
        </w:tabs>
        <w:spacing w:line="20" w:lineRule="atLeast"/>
        <w:ind w:left="284" w:hanging="284"/>
        <w:jc w:val="both"/>
        <w:rPr>
          <w:rFonts w:ascii="Arial" w:hAnsi="Arial" w:cs="Arial"/>
          <w:szCs w:val="20"/>
        </w:rPr>
      </w:pPr>
      <w:r>
        <w:rPr>
          <w:rFonts w:ascii="Arial" w:hAnsi="Arial" w:cs="Arial"/>
          <w:szCs w:val="20"/>
        </w:rPr>
        <w:t>vyjadřuje se k investiční činnosti kraje jako prorůstových opatření,</w:t>
      </w:r>
    </w:p>
    <w:p w14:paraId="57870A70" w14:textId="77777777" w:rsidR="00451BFD" w:rsidRDefault="00451BFD" w:rsidP="00C1007A">
      <w:pPr>
        <w:pStyle w:val="Odstavecseseznamem"/>
        <w:numPr>
          <w:ilvl w:val="0"/>
          <w:numId w:val="12"/>
        </w:numPr>
        <w:tabs>
          <w:tab w:val="left" w:pos="284"/>
        </w:tabs>
        <w:spacing w:line="20" w:lineRule="atLeast"/>
        <w:ind w:left="284" w:hanging="284"/>
        <w:jc w:val="both"/>
        <w:rPr>
          <w:rFonts w:ascii="Arial" w:hAnsi="Arial" w:cs="Arial"/>
          <w:szCs w:val="20"/>
        </w:rPr>
      </w:pPr>
      <w:r>
        <w:rPr>
          <w:rFonts w:ascii="Arial" w:hAnsi="Arial" w:cs="Arial"/>
          <w:szCs w:val="20"/>
        </w:rPr>
        <w:t>spolupracuje s institucemi zapojenými do podpory podnikání na území kraje (komory, veřejná správa, úřady práce apod.) při řešení problémů v této oblasti,</w:t>
      </w:r>
    </w:p>
    <w:p w14:paraId="72A84067" w14:textId="77777777" w:rsidR="00451BFD" w:rsidRDefault="00451BFD" w:rsidP="00C1007A">
      <w:pPr>
        <w:pStyle w:val="Odstavecseseznamem"/>
        <w:numPr>
          <w:ilvl w:val="0"/>
          <w:numId w:val="12"/>
        </w:numPr>
        <w:tabs>
          <w:tab w:val="left" w:pos="284"/>
        </w:tabs>
        <w:spacing w:line="20" w:lineRule="atLeast"/>
        <w:ind w:left="284" w:hanging="284"/>
        <w:jc w:val="both"/>
        <w:rPr>
          <w:rFonts w:ascii="Arial" w:hAnsi="Arial" w:cs="Arial"/>
          <w:szCs w:val="20"/>
        </w:rPr>
      </w:pPr>
      <w:r>
        <w:rPr>
          <w:rFonts w:ascii="Arial" w:hAnsi="Arial" w:cs="Arial"/>
          <w:szCs w:val="20"/>
        </w:rPr>
        <w:t>spolupracuje zejména se zaměstnavateli a institucemi zapojenými do podpory lidských zdrojů a zaměstnanosti na území kraje (komory, veřejná správa, úřady práce, pakty zaměstnanosti, odbory apod.) při řešení problémů v oblasti lidských zdrojů a zaměstnanosti, napomáhá vzniku nových pracovních míst, zejména pro absolventy škol,</w:t>
      </w:r>
    </w:p>
    <w:p w14:paraId="3BBBA7D4" w14:textId="77777777" w:rsidR="00451BFD" w:rsidRDefault="00451BFD" w:rsidP="00C1007A">
      <w:pPr>
        <w:pStyle w:val="Odstavecseseznamem"/>
        <w:numPr>
          <w:ilvl w:val="0"/>
          <w:numId w:val="12"/>
        </w:numPr>
        <w:tabs>
          <w:tab w:val="left" w:pos="284"/>
        </w:tabs>
        <w:spacing w:line="20" w:lineRule="atLeast"/>
        <w:ind w:left="284" w:hanging="284"/>
        <w:jc w:val="both"/>
        <w:rPr>
          <w:rFonts w:ascii="Arial" w:hAnsi="Arial" w:cs="Arial"/>
          <w:szCs w:val="20"/>
        </w:rPr>
      </w:pPr>
      <w:r>
        <w:rPr>
          <w:rFonts w:ascii="Arial" w:hAnsi="Arial" w:cs="Arial"/>
          <w:szCs w:val="20"/>
        </w:rPr>
        <w:t>zaměřuje se na podporu spolupráce vzdělávacích institucí se zaměstnavateli,</w:t>
      </w:r>
    </w:p>
    <w:p w14:paraId="292245F6" w14:textId="77777777" w:rsidR="00451BFD" w:rsidRDefault="00451BFD" w:rsidP="00C1007A">
      <w:pPr>
        <w:pStyle w:val="Odstavecseseznamem"/>
        <w:widowControl w:val="0"/>
        <w:numPr>
          <w:ilvl w:val="0"/>
          <w:numId w:val="12"/>
        </w:numPr>
        <w:tabs>
          <w:tab w:val="left" w:pos="284"/>
        </w:tabs>
        <w:autoSpaceDE w:val="0"/>
        <w:autoSpaceDN w:val="0"/>
        <w:adjustRightInd w:val="0"/>
        <w:spacing w:line="20" w:lineRule="atLeast"/>
        <w:ind w:left="284" w:hanging="284"/>
        <w:jc w:val="both"/>
        <w:rPr>
          <w:rFonts w:ascii="Arial" w:hAnsi="Arial" w:cs="Arial"/>
          <w:szCs w:val="20"/>
        </w:rPr>
      </w:pPr>
      <w:r>
        <w:rPr>
          <w:rFonts w:ascii="Arial" w:hAnsi="Arial" w:cs="Arial"/>
          <w:szCs w:val="20"/>
        </w:rPr>
        <w:t>plní další úkoly, kterými jej pověří zastupitelstvo kraje.</w:t>
      </w:r>
    </w:p>
    <w:p w14:paraId="22E2AEF5" w14:textId="77777777" w:rsidR="00451BFD" w:rsidRDefault="00451BFD" w:rsidP="00F51FA3">
      <w:pPr>
        <w:pStyle w:val="KUJKnormal"/>
      </w:pPr>
    </w:p>
    <w:p w14:paraId="6D5EB682" w14:textId="77777777" w:rsidR="00451BFD" w:rsidRDefault="00451BFD" w:rsidP="00F51FA3">
      <w:pPr>
        <w:pStyle w:val="KUJKnormal"/>
      </w:pPr>
      <w:r>
        <w:t>Zastupitelstvo kraje stanovilo počet členů Hospodářského výboru na 13. Složení výboru je – předseda: Ing. František Konečný, Ph.D., Jaroslav Havel, Jan Jelínek, Ing. Jiří Kulík, Ing. Pavel Mádl, Ing. Ivo Moravec, Bc. Miroslav Pekař, DiS., Bc. Irena Ravandi, DiS., David Šašek, DiS., Josef Soumar, Ing. Bohuslav Švehla, Ing. Milan Třebín, Ing. Václav Valhoda. Tajemnicí pro organizačně technické záležitosti výboru je Leona Šafářová.</w:t>
      </w:r>
    </w:p>
    <w:p w14:paraId="658C7A55" w14:textId="77777777" w:rsidR="00451BFD" w:rsidRDefault="00451BFD" w:rsidP="00F51FA3">
      <w:pPr>
        <w:pStyle w:val="KUJKnormal"/>
      </w:pPr>
    </w:p>
    <w:p w14:paraId="593DF84D" w14:textId="77777777" w:rsidR="00451BFD" w:rsidRDefault="00451BFD" w:rsidP="00F51FA3">
      <w:pPr>
        <w:pStyle w:val="KUJKnormal"/>
      </w:pPr>
      <w:r>
        <w:lastRenderedPageBreak/>
        <w:t>Termíny jednání výboru byly stanoveny na základě schválených termínů zasedání zastupitelstva kraje na I. pololetí 2021, a to ve dnech 24. 2., 31. 3., 28. 4. a 2. 6. 2021 (středa od 14 hodin).</w:t>
      </w:r>
    </w:p>
    <w:p w14:paraId="396B919E" w14:textId="77777777" w:rsidR="00451BFD" w:rsidRDefault="00451BFD" w:rsidP="00F51FA3">
      <w:pPr>
        <w:pStyle w:val="KUJKnormal"/>
      </w:pPr>
    </w:p>
    <w:p w14:paraId="6EBE2699" w14:textId="77777777" w:rsidR="00451BFD" w:rsidRDefault="00451BFD" w:rsidP="00F51FA3">
      <w:pPr>
        <w:pStyle w:val="KUJKnormal"/>
        <w:rPr>
          <w:rFonts w:cs="Arial"/>
          <w:szCs w:val="20"/>
        </w:rPr>
      </w:pPr>
      <w:r>
        <w:rPr>
          <w:rFonts w:cs="Arial"/>
          <w:szCs w:val="20"/>
        </w:rPr>
        <w:t xml:space="preserve">Hospodářský výbor si stanovil na svém jednání dne 24. 2. 2021 plán činnosti pro rok 2021, který předkládá zastupitelstvu v souladu s jednacím řádem ke schválení. </w:t>
      </w:r>
    </w:p>
    <w:p w14:paraId="0FDBB15F" w14:textId="77777777" w:rsidR="00451BFD" w:rsidRDefault="00451BFD" w:rsidP="00F51FA3">
      <w:pPr>
        <w:pStyle w:val="KUJKnormal"/>
        <w:rPr>
          <w:rFonts w:cs="Arial"/>
          <w:szCs w:val="20"/>
        </w:rPr>
      </w:pPr>
    </w:p>
    <w:p w14:paraId="7A3051AA"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 xml:space="preserve">Strategické a koncepční dokumenty kraje v oblasti hospodářství, zaměstnanosti, vědy, výzkumu a inovací </w:t>
      </w:r>
    </w:p>
    <w:p w14:paraId="2AB9E3E4"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Letiště</w:t>
      </w:r>
    </w:p>
    <w:p w14:paraId="3868627E" w14:textId="77777777" w:rsidR="00451BFD" w:rsidRPr="00F51FA3"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 xml:space="preserve">Dostavba D3 a D4, silnice I. tř., krajské komunikace, </w:t>
      </w:r>
      <w:r w:rsidRPr="00F51FA3">
        <w:rPr>
          <w:rFonts w:ascii="Arial" w:hAnsi="Arial" w:cs="Arial"/>
          <w:szCs w:val="20"/>
        </w:rPr>
        <w:t>doplňková infrastruktura a dostavba 4.</w:t>
      </w:r>
      <w:r>
        <w:rPr>
          <w:rFonts w:ascii="Arial" w:hAnsi="Arial" w:cs="Arial"/>
          <w:szCs w:val="20"/>
        </w:rPr>
        <w:t> </w:t>
      </w:r>
      <w:r w:rsidRPr="00F51FA3">
        <w:rPr>
          <w:rFonts w:ascii="Arial" w:hAnsi="Arial" w:cs="Arial"/>
          <w:szCs w:val="20"/>
        </w:rPr>
        <w:t>železničního koridoru</w:t>
      </w:r>
    </w:p>
    <w:p w14:paraId="17974C40"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Plán odpadového hospodářství, ZEVO</w:t>
      </w:r>
    </w:p>
    <w:p w14:paraId="2254E9E0"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Program rozvoje Jč kraje 2021-2027</w:t>
      </w:r>
    </w:p>
    <w:p w14:paraId="2E9CF9D0"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Plán energetické koncepce</w:t>
      </w:r>
    </w:p>
    <w:p w14:paraId="57286652"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Spolupráce se zaměstnavateli a institucemi (hospodářská komora, veřejná správa, úřady práce, odbory apod.)</w:t>
      </w:r>
    </w:p>
    <w:p w14:paraId="43EA35C0"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Strategický plán rozvoje Smart Region Jč kraj</w:t>
      </w:r>
    </w:p>
    <w:p w14:paraId="0B1CD80D"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Zásady územního rozvoje</w:t>
      </w:r>
    </w:p>
    <w:p w14:paraId="6C992145"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Spolupráce se vzdělávacími institucemi a zaměstnavateli</w:t>
      </w:r>
    </w:p>
    <w:p w14:paraId="499E36E6"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Dotační (grantová) politika kraje</w:t>
      </w:r>
    </w:p>
    <w:p w14:paraId="55ACDF82" w14:textId="77777777" w:rsidR="00451BFD" w:rsidRDefault="00451BFD" w:rsidP="00F51FA3">
      <w:pPr>
        <w:pStyle w:val="Odstavecseseznamem"/>
        <w:numPr>
          <w:ilvl w:val="0"/>
          <w:numId w:val="11"/>
        </w:numPr>
        <w:spacing w:after="200" w:line="276" w:lineRule="auto"/>
        <w:ind w:left="426" w:hanging="284"/>
        <w:jc w:val="both"/>
        <w:rPr>
          <w:rFonts w:ascii="Arial" w:hAnsi="Arial" w:cs="Arial"/>
          <w:szCs w:val="20"/>
        </w:rPr>
      </w:pPr>
      <w:r>
        <w:rPr>
          <w:rFonts w:ascii="Arial" w:hAnsi="Arial" w:cs="Arial"/>
          <w:szCs w:val="20"/>
        </w:rPr>
        <w:t>E – mobilita</w:t>
      </w:r>
    </w:p>
    <w:p w14:paraId="640762C7" w14:textId="77777777" w:rsidR="00451BFD" w:rsidRDefault="00451BFD" w:rsidP="00F51FA3">
      <w:pPr>
        <w:pStyle w:val="KUJKnormal"/>
        <w:rPr>
          <w:rFonts w:cs="Arial"/>
          <w:szCs w:val="20"/>
        </w:rPr>
      </w:pPr>
      <w:r>
        <w:rPr>
          <w:rFonts w:cs="Arial"/>
          <w:bCs/>
          <w:szCs w:val="20"/>
        </w:rPr>
        <w:t>Hospodářský výbor se bude zabývat příp. dalšími úkoly, kterými jej pověří zastupitelstvo kraje.</w:t>
      </w:r>
    </w:p>
    <w:p w14:paraId="0A65635C" w14:textId="77777777" w:rsidR="00451BFD" w:rsidRDefault="00451BFD" w:rsidP="00AA0A39">
      <w:pPr>
        <w:pStyle w:val="KUJKnormal"/>
      </w:pPr>
    </w:p>
    <w:p w14:paraId="6EA16595" w14:textId="77777777" w:rsidR="00451BFD" w:rsidRDefault="00451BFD" w:rsidP="00AA0A39">
      <w:pPr>
        <w:pStyle w:val="KUJKnormal"/>
      </w:pPr>
    </w:p>
    <w:p w14:paraId="40C308EE" w14:textId="77777777" w:rsidR="00451BFD" w:rsidRDefault="00451BFD" w:rsidP="00AA0A39">
      <w:pPr>
        <w:pStyle w:val="KUJKnormal"/>
      </w:pPr>
      <w:r>
        <w:t>Finanční nároky a krytí: nemá nároky na rozpočet kraje</w:t>
      </w:r>
    </w:p>
    <w:p w14:paraId="153A596C" w14:textId="77777777" w:rsidR="00451BFD" w:rsidRDefault="00451BFD" w:rsidP="00AA0A39">
      <w:pPr>
        <w:pStyle w:val="KUJKnormal"/>
      </w:pPr>
    </w:p>
    <w:p w14:paraId="7A85383B" w14:textId="77777777" w:rsidR="00451BFD" w:rsidRDefault="00451BFD" w:rsidP="00AA0A39">
      <w:pPr>
        <w:pStyle w:val="KUJKnormal"/>
      </w:pPr>
      <w:r>
        <w:t>Vyjádření správce rozpočtu: nebylo vyžádáno</w:t>
      </w:r>
    </w:p>
    <w:p w14:paraId="63CB31E2" w14:textId="77777777" w:rsidR="00451BFD" w:rsidRDefault="00451BFD" w:rsidP="00AA0A39">
      <w:pPr>
        <w:pStyle w:val="KUJKnormal"/>
      </w:pPr>
    </w:p>
    <w:p w14:paraId="05458E16" w14:textId="77777777" w:rsidR="00451BFD" w:rsidRDefault="00451BFD" w:rsidP="00AA0A39">
      <w:pPr>
        <w:pStyle w:val="KUJKnormal"/>
      </w:pPr>
      <w:r>
        <w:t>Návrh projednán (stanoviska): projednáno na jednání Hospodářského výboru dne 24. 2. 2021</w:t>
      </w:r>
    </w:p>
    <w:p w14:paraId="58689372" w14:textId="77777777" w:rsidR="00451BFD" w:rsidRDefault="00451BFD" w:rsidP="00AA0A39">
      <w:pPr>
        <w:pStyle w:val="KUJKnormal"/>
      </w:pPr>
    </w:p>
    <w:p w14:paraId="3EED51C2" w14:textId="77777777" w:rsidR="00451BFD" w:rsidRDefault="00451BFD" w:rsidP="00AA0A39">
      <w:pPr>
        <w:pStyle w:val="KUJKnormal"/>
      </w:pPr>
    </w:p>
    <w:p w14:paraId="3166550C" w14:textId="77777777" w:rsidR="00451BFD" w:rsidRPr="007939A8" w:rsidRDefault="00451BFD" w:rsidP="00F51FA3">
      <w:pPr>
        <w:pStyle w:val="KUJKtucny"/>
        <w:tabs>
          <w:tab w:val="left" w:pos="1134"/>
        </w:tabs>
      </w:pPr>
      <w:r w:rsidRPr="007939A8">
        <w:t>PŘÍLOHY:</w:t>
      </w:r>
      <w:r>
        <w:tab/>
      </w:r>
      <w:r>
        <w:rPr>
          <w:b w:val="0"/>
          <w:bCs/>
        </w:rPr>
        <w:t>bez příloh</w:t>
      </w:r>
    </w:p>
    <w:p w14:paraId="3DD97178" w14:textId="77777777" w:rsidR="00451BFD" w:rsidRDefault="00451BFD" w:rsidP="00AA0A39">
      <w:pPr>
        <w:pStyle w:val="KUJKnormal"/>
      </w:pPr>
    </w:p>
    <w:p w14:paraId="59E2E6B4" w14:textId="77777777" w:rsidR="00451BFD" w:rsidRPr="007C1EE7" w:rsidRDefault="00451BFD" w:rsidP="00F51FA3">
      <w:pPr>
        <w:pStyle w:val="KUJKtucny"/>
        <w:tabs>
          <w:tab w:val="left" w:pos="1276"/>
        </w:tabs>
      </w:pPr>
      <w:r w:rsidRPr="007C1EE7">
        <w:t>Zodpovídá:</w:t>
      </w:r>
      <w:r w:rsidRPr="00F51FA3">
        <w:rPr>
          <w:b w:val="0"/>
        </w:rPr>
        <w:t xml:space="preserve"> </w:t>
      </w:r>
      <w:r>
        <w:rPr>
          <w:b w:val="0"/>
        </w:rPr>
        <w:tab/>
        <w:t>předseda výboru – Ing. František Konečný, Ph.D., vedoucí KHEJ – Mgr. Petr Soukup</w:t>
      </w:r>
    </w:p>
    <w:p w14:paraId="70B9669F" w14:textId="77777777" w:rsidR="00451BFD" w:rsidRDefault="00451BFD" w:rsidP="00AA0A39">
      <w:pPr>
        <w:pStyle w:val="KUJKnormal"/>
      </w:pPr>
    </w:p>
    <w:p w14:paraId="13A2DCCC" w14:textId="77777777" w:rsidR="00451BFD" w:rsidRDefault="00451BFD" w:rsidP="00AA0A39">
      <w:pPr>
        <w:pStyle w:val="KUJKnormal"/>
      </w:pPr>
    </w:p>
    <w:p w14:paraId="69FD3B79" w14:textId="77777777" w:rsidR="00451BFD" w:rsidRDefault="00451BFD" w:rsidP="00F51FA3">
      <w:pPr>
        <w:pStyle w:val="KUJKnormal"/>
        <w:tabs>
          <w:tab w:val="left" w:pos="1701"/>
          <w:tab w:val="right" w:pos="2694"/>
        </w:tabs>
      </w:pPr>
      <w:r>
        <w:t>Termín kontroly:</w:t>
      </w:r>
      <w:r>
        <w:tab/>
        <w:t>30. 6. 2021</w:t>
      </w:r>
    </w:p>
    <w:p w14:paraId="32DF8818" w14:textId="77777777" w:rsidR="00451BFD" w:rsidRDefault="00451BFD" w:rsidP="00F51FA3">
      <w:pPr>
        <w:pStyle w:val="KUJKnormal"/>
        <w:tabs>
          <w:tab w:val="right" w:pos="2694"/>
        </w:tabs>
      </w:pPr>
      <w:r>
        <w:t>Termín splnění:</w:t>
      </w:r>
      <w:r>
        <w:tab/>
        <w:t>31. 12. 2021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52B2" w14:textId="77777777" w:rsidR="00F22B85" w:rsidRDefault="00F22B85" w:rsidP="002C5539">
      <w:r>
        <w:separator/>
      </w:r>
    </w:p>
  </w:endnote>
  <w:endnote w:type="continuationSeparator" w:id="0">
    <w:p w14:paraId="095D3487" w14:textId="77777777" w:rsidR="00F22B85" w:rsidRDefault="00F22B8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22B8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22B8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38F8" w14:textId="77777777" w:rsidR="00F22B85" w:rsidRDefault="00F22B85" w:rsidP="002C5539">
      <w:r>
        <w:separator/>
      </w:r>
    </w:p>
  </w:footnote>
  <w:footnote w:type="continuationSeparator" w:id="0">
    <w:p w14:paraId="7DD42261" w14:textId="77777777" w:rsidR="00F22B85" w:rsidRDefault="00F22B8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9556" w14:textId="77777777" w:rsidR="00451BFD" w:rsidRDefault="00451BFD" w:rsidP="00973BFF">
    <w:r>
      <w:rPr>
        <w:noProof/>
      </w:rPr>
      <w:pict w14:anchorId="42EFBA1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CC9B936" w14:textId="77777777" w:rsidR="00451BFD" w:rsidRPr="00D405BE" w:rsidRDefault="00451BFD" w:rsidP="006D218A">
                <w:pPr>
                  <w:spacing w:after="60"/>
                  <w:rPr>
                    <w:rFonts w:cs="Arial"/>
                    <w:b/>
                    <w:sz w:val="22"/>
                  </w:rPr>
                </w:pPr>
                <w:r w:rsidRPr="00D405BE">
                  <w:rPr>
                    <w:rFonts w:cs="Arial"/>
                    <w:b/>
                    <w:sz w:val="22"/>
                  </w:rPr>
                  <w:t>ZASTUPITELSTVO JIHOČESKÉHO KRAJE</w:t>
                </w:r>
              </w:p>
              <w:p w14:paraId="21D310CE" w14:textId="77777777" w:rsidR="00451BFD" w:rsidRPr="00D405BE" w:rsidRDefault="00451BFD" w:rsidP="006D218A">
                <w:pPr>
                  <w:spacing w:after="60"/>
                  <w:rPr>
                    <w:rFonts w:cs="Arial"/>
                    <w:sz w:val="22"/>
                  </w:rPr>
                </w:pPr>
                <w:r w:rsidRPr="00D405BE">
                  <w:rPr>
                    <w:rFonts w:cs="Arial"/>
                    <w:sz w:val="22"/>
                  </w:rPr>
                  <w:t>NÁVRH USNESENÍ</w:t>
                </w:r>
              </w:p>
            </w:txbxContent>
          </v:textbox>
        </v:shape>
      </w:pict>
    </w:r>
    <w:r>
      <w:rPr>
        <w:noProof/>
      </w:rPr>
    </w:r>
    <w:r>
      <w:pict w14:anchorId="1A15422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C9860E3">
        <v:rect id="_x0000_i1026" style="width:481.9pt;height:2pt" o:hralign="center" o:hrstd="t" o:hrnoshade="t" o:hr="t" fillcolor="black" stroked="f"/>
      </w:pict>
    </w:r>
  </w:p>
  <w:p w14:paraId="0F551AA0" w14:textId="77777777" w:rsidR="00451BFD" w:rsidRPr="00451BFD" w:rsidRDefault="00451BFD" w:rsidP="00451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561745"/>
    <w:multiLevelType w:val="hybridMultilevel"/>
    <w:tmpl w:val="73169A7E"/>
    <w:lvl w:ilvl="0" w:tplc="76B68BA4">
      <w:start w:val="1"/>
      <w:numFmt w:val="lowerLetter"/>
      <w:lvlText w:val="%1)"/>
      <w:lvlJc w:val="left"/>
      <w:pPr>
        <w:ind w:left="720" w:hanging="360"/>
      </w:pPr>
      <w:rPr>
        <w:rFonts w:ascii="Arial" w:eastAsia="Calibri"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2E5112"/>
    <w:multiLevelType w:val="hybridMultilevel"/>
    <w:tmpl w:val="E9285A4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9"/>
  </w:num>
  <w:num w:numId="11" w16cid:durableId="29695851">
    <w:abstractNumId w:val="11"/>
    <w:lvlOverride w:ilvl="0"/>
    <w:lvlOverride w:ilvl="1"/>
    <w:lvlOverride w:ilvl="2"/>
    <w:lvlOverride w:ilvl="3"/>
    <w:lvlOverride w:ilvl="4"/>
    <w:lvlOverride w:ilvl="5"/>
    <w:lvlOverride w:ilvl="6"/>
    <w:lvlOverride w:ilvl="7"/>
    <w:lvlOverride w:ilvl="8"/>
  </w:num>
  <w:num w:numId="12" w16cid:durableId="270940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1BFD"/>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882"/>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2B85"/>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3073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2026-01-30T08:17:00Z</dcterms:created>
  <dcterms:modified xsi:type="dcterms:W3CDTF">2026-01-30T08:17:00Z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5599295</vt:i4>
  </property>
  <property fmtid="{D5CDD505-2E9C-101B-9397-08002B2CF9AE}" pid="5" name="UlozitJako">
    <vt:lpwstr>C:\Users\mrazkova\AppData\Local\Temp\iU38908024\Zastupitelstvo\2021-03-18\Navrhy\53-ZK-21.</vt:lpwstr>
  </property>
  <property fmtid="{D5CDD505-2E9C-101B-9397-08002B2CF9AE}" pid="6" name="Zpracovat">
    <vt:bool>false</vt:bool>
  </property>
</Properties>
</file>